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宋体" w:hAnsi="宋体"/>
          <w:color w:val="auto"/>
          <w:highlight w:val="none"/>
          <w:lang w:val="en-GB"/>
        </w:rPr>
      </w:pPr>
      <w:bookmarkStart w:id="0" w:name="_Hlk104193562"/>
      <w:r>
        <w:rPr>
          <w:rFonts w:ascii="宋体" w:hAnsi="宋体"/>
          <w:color w:val="auto"/>
          <w:highlight w:val="none"/>
        </w:rPr>
        <w:drawing>
          <wp:inline distT="0" distB="0" distL="0" distR="0">
            <wp:extent cx="2050415" cy="696595"/>
            <wp:effectExtent l="0" t="0" r="698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jc w:val="center"/>
        <w:rPr>
          <w:rFonts w:ascii="宋体" w:hAnsi="宋体"/>
          <w:b/>
          <w:bCs/>
          <w:color w:val="auto"/>
          <w:sz w:val="52"/>
          <w:szCs w:val="52"/>
          <w:highlight w:val="none"/>
        </w:rPr>
      </w:pPr>
    </w:p>
    <w:p>
      <w:pPr>
        <w:tabs>
          <w:tab w:val="center" w:pos="4156"/>
          <w:tab w:val="left" w:pos="6405"/>
        </w:tabs>
        <w:adjustRightInd w:val="0"/>
        <w:snapToGrid w:val="0"/>
        <w:jc w:val="center"/>
        <w:rPr>
          <w:rFonts w:hint="eastAsia" w:ascii="宋体" w:hAnsi="宋体"/>
          <w:b/>
          <w:bCs/>
          <w:color w:val="auto"/>
          <w:sz w:val="72"/>
          <w:szCs w:val="72"/>
          <w:highlight w:val="none"/>
        </w:rPr>
      </w:pPr>
    </w:p>
    <w:p>
      <w:pPr>
        <w:tabs>
          <w:tab w:val="center" w:pos="4156"/>
          <w:tab w:val="left" w:pos="6405"/>
        </w:tabs>
        <w:adjustRightInd w:val="0"/>
        <w:snapToGrid w:val="0"/>
        <w:jc w:val="center"/>
        <w:rPr>
          <w:rFonts w:ascii="宋体" w:hAnsi="宋体"/>
          <w:b/>
          <w:bCs/>
          <w:color w:val="auto"/>
          <w:sz w:val="72"/>
          <w:szCs w:val="72"/>
          <w:highlight w:val="none"/>
        </w:rPr>
      </w:pPr>
      <w:r>
        <w:rPr>
          <w:rFonts w:hint="eastAsia" w:ascii="宋体" w:hAnsi="宋体"/>
          <w:b/>
          <w:bCs/>
          <w:color w:val="auto"/>
          <w:sz w:val="72"/>
          <w:szCs w:val="72"/>
          <w:highlight w:val="none"/>
        </w:rPr>
        <w:t>竞争性磋商文件</w:t>
      </w:r>
    </w:p>
    <w:p>
      <w:pPr>
        <w:adjustRightInd w:val="0"/>
        <w:snapToGrid w:val="0"/>
        <w:jc w:val="center"/>
        <w:rPr>
          <w:rFonts w:ascii="宋体" w:hAnsi="宋体"/>
          <w:b/>
          <w:bCs/>
          <w:color w:val="auto"/>
          <w:sz w:val="52"/>
          <w:szCs w:val="52"/>
          <w:highlight w:val="none"/>
        </w:rPr>
      </w:pPr>
    </w:p>
    <w:p>
      <w:pPr>
        <w:pStyle w:val="37"/>
        <w:ind w:firstLine="0" w:firstLineChars="0"/>
        <w:jc w:val="left"/>
        <w:rPr>
          <w:rFonts w:ascii="宋体" w:hAnsi="宋体"/>
          <w:b/>
          <w:bCs/>
          <w:color w:val="auto"/>
          <w:szCs w:val="28"/>
          <w:highlight w:val="none"/>
        </w:rPr>
      </w:pPr>
    </w:p>
    <w:p>
      <w:pPr>
        <w:pStyle w:val="37"/>
        <w:ind w:firstLine="0" w:firstLineChars="0"/>
        <w:jc w:val="left"/>
        <w:rPr>
          <w:rFonts w:ascii="宋体" w:hAnsi="宋体"/>
          <w:b/>
          <w:bCs/>
          <w:color w:val="auto"/>
          <w:szCs w:val="28"/>
          <w:highlight w:val="none"/>
        </w:rPr>
      </w:pPr>
    </w:p>
    <w:p>
      <w:pPr>
        <w:pStyle w:val="37"/>
        <w:ind w:firstLine="0" w:firstLineChars="0"/>
        <w:jc w:val="left"/>
        <w:rPr>
          <w:rFonts w:ascii="宋体" w:hAnsi="宋体"/>
          <w:b/>
          <w:bCs/>
          <w:color w:val="auto"/>
          <w:szCs w:val="28"/>
          <w:highlight w:val="none"/>
        </w:rPr>
      </w:pPr>
    </w:p>
    <w:p>
      <w:pPr>
        <w:pStyle w:val="37"/>
        <w:ind w:firstLine="0" w:firstLineChars="0"/>
        <w:jc w:val="left"/>
        <w:rPr>
          <w:rFonts w:ascii="宋体" w:hAnsi="宋体"/>
          <w:b/>
          <w:bCs/>
          <w:color w:val="auto"/>
          <w:szCs w:val="28"/>
          <w:highlight w:val="none"/>
        </w:rPr>
      </w:pPr>
    </w:p>
    <w:p>
      <w:pPr>
        <w:pStyle w:val="37"/>
        <w:ind w:firstLine="2660" w:firstLineChars="828"/>
        <w:rPr>
          <w:rFonts w:hint="eastAsia" w:ascii="宋体" w:hAnsi="宋体"/>
          <w:b/>
          <w:bCs/>
          <w:color w:val="auto"/>
          <w:sz w:val="32"/>
          <w:szCs w:val="28"/>
          <w:highlight w:val="none"/>
          <w:lang w:val="en-US" w:eastAsia="zh-CN"/>
        </w:rPr>
      </w:pPr>
    </w:p>
    <w:p>
      <w:pPr>
        <w:pStyle w:val="37"/>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b/>
          <w:bCs/>
          <w:color w:val="auto"/>
          <w:sz w:val="32"/>
          <w:szCs w:val="28"/>
          <w:highlight w:val="none"/>
          <w:lang w:val="en-US" w:eastAsia="zh-CN"/>
        </w:rPr>
      </w:pPr>
    </w:p>
    <w:p>
      <w:pPr>
        <w:pStyle w:val="37"/>
        <w:keepNext w:val="0"/>
        <w:keepLines w:val="0"/>
        <w:pageBreakBefore w:val="0"/>
        <w:widowControl/>
        <w:kinsoku/>
        <w:wordWrap/>
        <w:overflowPunct/>
        <w:topLinePunct w:val="0"/>
        <w:autoSpaceDE/>
        <w:autoSpaceDN/>
        <w:bidi w:val="0"/>
        <w:adjustRightInd w:val="0"/>
        <w:snapToGrid w:val="0"/>
        <w:ind w:firstLine="964" w:firstLineChars="300"/>
        <w:textAlignment w:val="auto"/>
        <w:rPr>
          <w:rFonts w:hint="eastAsia" w:ascii="宋体" w:hAnsi="宋体"/>
          <w:b/>
          <w:bCs/>
          <w:color w:val="auto"/>
          <w:sz w:val="32"/>
          <w:szCs w:val="28"/>
          <w:highlight w:val="none"/>
          <w:lang w:val="en-US" w:eastAsia="zh-CN"/>
        </w:rPr>
      </w:pPr>
      <w:r>
        <w:rPr>
          <w:rFonts w:hint="eastAsia" w:ascii="宋体" w:hAnsi="宋体"/>
          <w:b/>
          <w:bCs/>
          <w:color w:val="auto"/>
          <w:sz w:val="32"/>
          <w:szCs w:val="28"/>
          <w:highlight w:val="none"/>
          <w:lang w:val="en-US" w:eastAsia="zh-CN"/>
        </w:rPr>
        <w:t>项目名称：信宜市中医院食堂副食品及其配送服务项目</w:t>
      </w:r>
    </w:p>
    <w:p>
      <w:pPr>
        <w:pStyle w:val="37"/>
        <w:keepNext w:val="0"/>
        <w:keepLines w:val="0"/>
        <w:pageBreakBefore w:val="0"/>
        <w:widowControl/>
        <w:kinsoku/>
        <w:wordWrap/>
        <w:overflowPunct/>
        <w:topLinePunct w:val="0"/>
        <w:autoSpaceDE/>
        <w:autoSpaceDN/>
        <w:bidi w:val="0"/>
        <w:adjustRightInd w:val="0"/>
        <w:snapToGrid w:val="0"/>
        <w:ind w:firstLine="964" w:firstLineChars="300"/>
        <w:textAlignment w:val="auto"/>
        <w:rPr>
          <w:rFonts w:ascii="宋体" w:hAnsi="宋体"/>
          <w:b/>
          <w:bCs/>
          <w:color w:val="auto"/>
          <w:sz w:val="32"/>
          <w:szCs w:val="28"/>
          <w:highlight w:val="none"/>
        </w:rPr>
      </w:pPr>
      <w:r>
        <w:rPr>
          <w:rFonts w:hint="eastAsia" w:ascii="宋体" w:hAnsi="宋体"/>
          <w:b/>
          <w:bCs/>
          <w:color w:val="auto"/>
          <w:sz w:val="32"/>
          <w:szCs w:val="28"/>
          <w:highlight w:val="none"/>
        </w:rPr>
        <w:t>项目编号：GDDHZB20240021</w:t>
      </w:r>
    </w:p>
    <w:p>
      <w:pPr>
        <w:pStyle w:val="37"/>
        <w:keepNext w:val="0"/>
        <w:keepLines w:val="0"/>
        <w:pageBreakBefore w:val="0"/>
        <w:widowControl/>
        <w:kinsoku/>
        <w:wordWrap/>
        <w:overflowPunct/>
        <w:topLinePunct w:val="0"/>
        <w:autoSpaceDE/>
        <w:autoSpaceDN/>
        <w:bidi w:val="0"/>
        <w:adjustRightInd w:val="0"/>
        <w:snapToGrid w:val="0"/>
        <w:ind w:firstLine="964" w:firstLineChars="300"/>
        <w:textAlignment w:val="auto"/>
        <w:rPr>
          <w:rFonts w:hint="eastAsia" w:ascii="宋体" w:hAnsi="宋体" w:eastAsia="宋体"/>
          <w:b/>
          <w:bCs/>
          <w:color w:val="auto"/>
          <w:sz w:val="32"/>
          <w:szCs w:val="28"/>
          <w:highlight w:val="none"/>
          <w:lang w:eastAsia="zh-CN"/>
        </w:rPr>
      </w:pPr>
      <w:r>
        <w:rPr>
          <w:rFonts w:hint="eastAsia" w:ascii="宋体" w:hAnsi="宋体"/>
          <w:b/>
          <w:bCs/>
          <w:color w:val="auto"/>
          <w:sz w:val="32"/>
          <w:szCs w:val="28"/>
          <w:highlight w:val="none"/>
        </w:rPr>
        <w:t>采购人：</w:t>
      </w:r>
      <w:r>
        <w:rPr>
          <w:rFonts w:hint="eastAsia" w:ascii="宋体" w:hAnsi="宋体"/>
          <w:b/>
          <w:bCs/>
          <w:color w:val="auto"/>
          <w:sz w:val="32"/>
          <w:szCs w:val="28"/>
          <w:highlight w:val="none"/>
          <w:lang w:eastAsia="zh-CN"/>
        </w:rPr>
        <w:t>信宜市中医院</w:t>
      </w:r>
    </w:p>
    <w:p>
      <w:pPr>
        <w:pStyle w:val="37"/>
        <w:keepNext w:val="0"/>
        <w:keepLines w:val="0"/>
        <w:pageBreakBefore w:val="0"/>
        <w:widowControl/>
        <w:kinsoku/>
        <w:wordWrap/>
        <w:overflowPunct/>
        <w:topLinePunct w:val="0"/>
        <w:autoSpaceDE/>
        <w:autoSpaceDN/>
        <w:bidi w:val="0"/>
        <w:adjustRightInd w:val="0"/>
        <w:snapToGrid w:val="0"/>
        <w:ind w:firstLine="964" w:firstLineChars="300"/>
        <w:textAlignment w:val="auto"/>
        <w:rPr>
          <w:rFonts w:ascii="宋体" w:hAnsi="宋体"/>
          <w:b/>
          <w:bCs/>
          <w:color w:val="auto"/>
          <w:sz w:val="32"/>
          <w:szCs w:val="28"/>
          <w:highlight w:val="none"/>
        </w:rPr>
      </w:pPr>
      <w:r>
        <w:rPr>
          <w:rFonts w:hint="eastAsia" w:ascii="宋体" w:hAnsi="宋体"/>
          <w:b/>
          <w:bCs/>
          <w:color w:val="auto"/>
          <w:sz w:val="32"/>
          <w:szCs w:val="28"/>
          <w:highlight w:val="none"/>
        </w:rPr>
        <w:t>采购代理机构：广东达禾工程管理有限公司</w:t>
      </w:r>
    </w:p>
    <w:p>
      <w:pPr>
        <w:pStyle w:val="37"/>
        <w:keepNext w:val="0"/>
        <w:keepLines w:val="0"/>
        <w:pageBreakBefore w:val="0"/>
        <w:widowControl/>
        <w:kinsoku/>
        <w:wordWrap/>
        <w:overflowPunct/>
        <w:topLinePunct w:val="0"/>
        <w:autoSpaceDE/>
        <w:autoSpaceDN/>
        <w:bidi w:val="0"/>
        <w:adjustRightInd w:val="0"/>
        <w:snapToGrid w:val="0"/>
        <w:ind w:firstLine="964" w:firstLineChars="300"/>
        <w:textAlignment w:val="auto"/>
        <w:rPr>
          <w:rFonts w:ascii="宋体" w:hAnsi="宋体"/>
          <w:b/>
          <w:bCs/>
          <w:color w:val="auto"/>
          <w:sz w:val="32"/>
          <w:szCs w:val="28"/>
          <w:highlight w:val="none"/>
        </w:rPr>
      </w:pPr>
      <w:r>
        <w:rPr>
          <w:rFonts w:hint="eastAsia" w:ascii="宋体" w:hAnsi="宋体"/>
          <w:b/>
          <w:bCs/>
          <w:color w:val="auto"/>
          <w:sz w:val="32"/>
          <w:szCs w:val="28"/>
          <w:highlight w:val="none"/>
        </w:rPr>
        <w:t>日期：二○二</w:t>
      </w:r>
      <w:r>
        <w:rPr>
          <w:rFonts w:hint="eastAsia" w:ascii="宋体" w:hAnsi="宋体"/>
          <w:b/>
          <w:bCs/>
          <w:color w:val="auto"/>
          <w:sz w:val="32"/>
          <w:szCs w:val="28"/>
          <w:highlight w:val="none"/>
          <w:lang w:val="en-US" w:eastAsia="zh-CN"/>
        </w:rPr>
        <w:t>四</w:t>
      </w:r>
      <w:r>
        <w:rPr>
          <w:rFonts w:hint="eastAsia" w:ascii="宋体" w:hAnsi="宋体"/>
          <w:b/>
          <w:bCs/>
          <w:color w:val="auto"/>
          <w:sz w:val="32"/>
          <w:szCs w:val="28"/>
          <w:highlight w:val="none"/>
        </w:rPr>
        <w:t>年</w:t>
      </w:r>
      <w:r>
        <w:rPr>
          <w:rFonts w:hint="eastAsia" w:ascii="宋体" w:hAnsi="宋体"/>
          <w:b/>
          <w:bCs/>
          <w:color w:val="auto"/>
          <w:sz w:val="32"/>
          <w:szCs w:val="28"/>
          <w:highlight w:val="none"/>
          <w:lang w:val="en-US" w:eastAsia="zh-CN"/>
        </w:rPr>
        <w:t>五</w:t>
      </w:r>
      <w:r>
        <w:rPr>
          <w:rFonts w:hint="eastAsia" w:ascii="宋体" w:hAnsi="宋体"/>
          <w:b/>
          <w:bCs/>
          <w:color w:val="auto"/>
          <w:sz w:val="32"/>
          <w:szCs w:val="28"/>
          <w:highlight w:val="none"/>
        </w:rPr>
        <w:t>月</w:t>
      </w:r>
    </w:p>
    <w:p>
      <w:pPr>
        <w:pStyle w:val="37"/>
        <w:ind w:firstLine="0" w:firstLineChars="0"/>
        <w:jc w:val="center"/>
        <w:rPr>
          <w:rFonts w:ascii="宋体" w:hAnsi="宋体"/>
          <w:color w:val="auto"/>
          <w:highlight w:val="none"/>
        </w:rPr>
      </w:pPr>
      <w:r>
        <w:rPr>
          <w:rFonts w:ascii="宋体" w:hAnsi="宋体"/>
          <w:color w:val="auto"/>
          <w:highlight w:val="none"/>
        </w:rPr>
        <w:br w:type="page"/>
      </w:r>
    </w:p>
    <w:bookmarkEnd w:id="0"/>
    <w:p>
      <w:pPr>
        <w:pStyle w:val="37"/>
        <w:ind w:firstLine="0" w:firstLineChars="0"/>
        <w:jc w:val="center"/>
        <w:rPr>
          <w:rFonts w:ascii="宋体" w:hAnsi="宋体"/>
          <w:b/>
          <w:bCs/>
          <w:color w:val="auto"/>
          <w:sz w:val="44"/>
          <w:szCs w:val="44"/>
          <w:highlight w:val="none"/>
        </w:rPr>
      </w:pPr>
      <w:r>
        <w:rPr>
          <w:rFonts w:ascii="宋体" w:hAnsi="宋体"/>
          <w:b/>
          <w:bCs/>
          <w:color w:val="auto"/>
          <w:sz w:val="44"/>
          <w:szCs w:val="44"/>
          <w:highlight w:val="none"/>
        </w:rPr>
        <w:t>温馨提示</w:t>
      </w:r>
    </w:p>
    <w:p>
      <w:pPr>
        <w:pStyle w:val="160"/>
        <w:rPr>
          <w:rFonts w:ascii="宋体" w:hAnsi="宋体" w:cs="Times New Roman"/>
          <w:b/>
          <w:color w:val="auto"/>
          <w:sz w:val="22"/>
          <w:szCs w:val="21"/>
          <w:highlight w:val="none"/>
        </w:rPr>
      </w:pPr>
      <w:r>
        <w:rPr>
          <w:rFonts w:ascii="宋体" w:hAnsi="宋体" w:cs="Times New Roman"/>
          <w:b/>
          <w:color w:val="auto"/>
          <w:sz w:val="22"/>
          <w:szCs w:val="21"/>
          <w:highlight w:val="none"/>
        </w:rPr>
        <w:t xml:space="preserve">（本提示内容非磋商文件的组成部分，仅为善意提醒。如有不一致的地方，以磋商文件为准） </w:t>
      </w:r>
    </w:p>
    <w:p>
      <w:pPr>
        <w:numPr>
          <w:ilvl w:val="0"/>
          <w:numId w:val="4"/>
        </w:numPr>
        <w:tabs>
          <w:tab w:val="left" w:pos="502"/>
          <w:tab w:val="left" w:pos="2279"/>
          <w:tab w:val="left" w:pos="4769"/>
        </w:tabs>
        <w:ind w:left="440" w:hanging="440" w:hangingChars="200"/>
        <w:rPr>
          <w:rFonts w:ascii="宋体" w:hAnsi="宋体"/>
          <w:color w:val="auto"/>
          <w:sz w:val="22"/>
          <w:szCs w:val="21"/>
          <w:highlight w:val="none"/>
        </w:rPr>
      </w:pPr>
      <w:r>
        <w:rPr>
          <w:rFonts w:hint="eastAsia" w:ascii="宋体" w:hAnsi="宋体"/>
          <w:color w:val="auto"/>
          <w:sz w:val="22"/>
          <w:szCs w:val="21"/>
          <w:highlight w:val="none"/>
        </w:rPr>
        <w:t>“□”为选择项，采购人</w:t>
      </w:r>
      <w:r>
        <w:rPr>
          <w:rFonts w:ascii="宋体" w:hAnsi="宋体"/>
          <w:color w:val="auto"/>
          <w:sz w:val="22"/>
          <w:szCs w:val="21"/>
          <w:highlight w:val="none"/>
        </w:rPr>
        <w:t>/采购代理机构采用相应内容的以“■”表示，不采用相应内容的仍然以“□”表示。</w:t>
      </w:r>
    </w:p>
    <w:p>
      <w:pPr>
        <w:numPr>
          <w:ilvl w:val="0"/>
          <w:numId w:val="4"/>
        </w:numPr>
        <w:tabs>
          <w:tab w:val="left" w:pos="502"/>
          <w:tab w:val="left" w:pos="2279"/>
          <w:tab w:val="left" w:pos="4769"/>
        </w:tabs>
        <w:ind w:left="440" w:hanging="440" w:hangingChars="200"/>
        <w:rPr>
          <w:rFonts w:ascii="宋体" w:hAnsi="宋体"/>
          <w:color w:val="auto"/>
          <w:sz w:val="22"/>
          <w:szCs w:val="21"/>
          <w:highlight w:val="none"/>
        </w:rPr>
      </w:pPr>
      <w:r>
        <w:rPr>
          <w:rFonts w:ascii="宋体" w:hAnsi="宋体"/>
          <w:color w:val="auto"/>
          <w:sz w:val="22"/>
          <w:szCs w:val="21"/>
          <w:highlight w:val="none"/>
        </w:rPr>
        <w:t>本项目邀请供应商参加</w:t>
      </w:r>
      <w:r>
        <w:rPr>
          <w:rFonts w:hint="eastAsia" w:ascii="宋体" w:hAnsi="宋体"/>
          <w:color w:val="auto"/>
          <w:sz w:val="22"/>
          <w:szCs w:val="21"/>
          <w:highlight w:val="none"/>
        </w:rPr>
        <w:t>开启</w:t>
      </w:r>
      <w:r>
        <w:rPr>
          <w:rFonts w:ascii="宋体" w:hAnsi="宋体"/>
          <w:color w:val="auto"/>
          <w:sz w:val="22"/>
          <w:szCs w:val="21"/>
          <w:highlight w:val="none"/>
        </w:rPr>
        <w:t>会议，</w:t>
      </w:r>
      <w:r>
        <w:rPr>
          <w:rFonts w:hint="eastAsia" w:ascii="宋体" w:hAnsi="宋体"/>
          <w:color w:val="auto"/>
          <w:sz w:val="22"/>
          <w:szCs w:val="21"/>
          <w:highlight w:val="none"/>
        </w:rPr>
        <w:t>响应</w:t>
      </w:r>
      <w:r>
        <w:rPr>
          <w:rFonts w:ascii="宋体" w:hAnsi="宋体"/>
          <w:color w:val="auto"/>
          <w:sz w:val="22"/>
          <w:szCs w:val="21"/>
          <w:highlight w:val="none"/>
        </w:rPr>
        <w:t>文件递交地址</w:t>
      </w:r>
      <w:r>
        <w:rPr>
          <w:rFonts w:hint="eastAsia" w:ascii="宋体" w:hAnsi="宋体"/>
          <w:color w:val="auto"/>
          <w:sz w:val="22"/>
          <w:szCs w:val="21"/>
          <w:highlight w:val="none"/>
        </w:rPr>
        <w:t>/开启</w:t>
      </w:r>
      <w:r>
        <w:rPr>
          <w:rFonts w:ascii="宋体" w:hAnsi="宋体"/>
          <w:color w:val="auto"/>
          <w:sz w:val="22"/>
          <w:szCs w:val="21"/>
          <w:highlight w:val="none"/>
        </w:rPr>
        <w:t>地址详见第一</w:t>
      </w:r>
      <w:r>
        <w:rPr>
          <w:rFonts w:hint="eastAsia" w:ascii="宋体" w:hAnsi="宋体"/>
          <w:color w:val="auto"/>
          <w:sz w:val="22"/>
          <w:szCs w:val="21"/>
          <w:highlight w:val="none"/>
        </w:rPr>
        <w:t>章磋商</w:t>
      </w:r>
      <w:r>
        <w:rPr>
          <w:rFonts w:ascii="宋体" w:hAnsi="宋体"/>
          <w:color w:val="auto"/>
          <w:sz w:val="22"/>
          <w:szCs w:val="21"/>
          <w:highlight w:val="none"/>
        </w:rPr>
        <w:t>邀请。请适当提前</w:t>
      </w:r>
      <w:r>
        <w:rPr>
          <w:rFonts w:hint="eastAsia" w:ascii="宋体" w:hAnsi="宋体"/>
          <w:color w:val="auto"/>
          <w:sz w:val="22"/>
          <w:szCs w:val="21"/>
          <w:highlight w:val="none"/>
        </w:rPr>
        <w:t>（</w:t>
      </w:r>
      <w:r>
        <w:rPr>
          <w:rFonts w:ascii="宋体" w:hAnsi="宋体"/>
          <w:color w:val="auto"/>
          <w:sz w:val="22"/>
          <w:szCs w:val="21"/>
          <w:highlight w:val="none"/>
        </w:rPr>
        <w:t>可在</w:t>
      </w:r>
      <w:r>
        <w:rPr>
          <w:rFonts w:hint="eastAsia" w:ascii="宋体" w:hAnsi="宋体"/>
          <w:color w:val="auto"/>
          <w:sz w:val="22"/>
          <w:szCs w:val="21"/>
          <w:highlight w:val="none"/>
        </w:rPr>
        <w:t>响应文件提交</w:t>
      </w:r>
      <w:r>
        <w:rPr>
          <w:rFonts w:ascii="宋体" w:hAnsi="宋体"/>
          <w:color w:val="auto"/>
          <w:sz w:val="22"/>
          <w:szCs w:val="21"/>
          <w:highlight w:val="none"/>
        </w:rPr>
        <w:t>截止时间前30分钟）到达。</w:t>
      </w:r>
    </w:p>
    <w:p>
      <w:pPr>
        <w:numPr>
          <w:ilvl w:val="0"/>
          <w:numId w:val="4"/>
        </w:numPr>
        <w:tabs>
          <w:tab w:val="left" w:pos="502"/>
          <w:tab w:val="left" w:pos="2279"/>
          <w:tab w:val="left" w:pos="4769"/>
        </w:tabs>
        <w:ind w:left="440" w:hanging="440" w:hangingChars="200"/>
        <w:rPr>
          <w:rFonts w:ascii="宋体" w:hAnsi="宋体"/>
          <w:color w:val="auto"/>
          <w:sz w:val="22"/>
          <w:szCs w:val="21"/>
          <w:highlight w:val="none"/>
        </w:rPr>
      </w:pPr>
      <w:r>
        <w:rPr>
          <w:rFonts w:hint="eastAsia" w:ascii="宋体" w:hAnsi="宋体"/>
          <w:color w:val="auto"/>
          <w:sz w:val="22"/>
          <w:szCs w:val="21"/>
          <w:highlight w:val="none"/>
        </w:rPr>
        <w:t>响应</w:t>
      </w:r>
      <w:r>
        <w:rPr>
          <w:rFonts w:ascii="宋体" w:hAnsi="宋体"/>
          <w:color w:val="auto"/>
          <w:sz w:val="22"/>
          <w:szCs w:val="21"/>
          <w:highlight w:val="none"/>
        </w:rPr>
        <w:t>文件应按顺序编制页码。</w:t>
      </w:r>
      <w:r>
        <w:rPr>
          <w:rFonts w:hint="eastAsia" w:ascii="宋体" w:hAnsi="宋体"/>
          <w:color w:val="auto"/>
          <w:sz w:val="22"/>
          <w:szCs w:val="21"/>
          <w:highlight w:val="none"/>
        </w:rPr>
        <w:t>请仔细检查响应文件是否已按磋商文件要求盖章、签名、签署日期。</w:t>
      </w:r>
    </w:p>
    <w:p>
      <w:pPr>
        <w:numPr>
          <w:ilvl w:val="0"/>
          <w:numId w:val="4"/>
        </w:numPr>
        <w:tabs>
          <w:tab w:val="left" w:pos="502"/>
          <w:tab w:val="left" w:pos="2279"/>
          <w:tab w:val="left" w:pos="4769"/>
        </w:tabs>
        <w:ind w:left="440" w:hanging="440" w:hangingChars="200"/>
        <w:rPr>
          <w:rFonts w:ascii="宋体" w:hAnsi="宋体"/>
          <w:color w:val="auto"/>
          <w:sz w:val="22"/>
          <w:szCs w:val="21"/>
          <w:highlight w:val="none"/>
        </w:rPr>
      </w:pPr>
      <w:r>
        <w:rPr>
          <w:rFonts w:hint="eastAsia" w:ascii="宋体" w:hAnsi="宋体"/>
          <w:color w:val="auto"/>
          <w:sz w:val="22"/>
          <w:szCs w:val="21"/>
          <w:highlight w:val="none"/>
        </w:rPr>
        <w:t>请仔细</w:t>
      </w:r>
      <w:r>
        <w:rPr>
          <w:rFonts w:ascii="宋体" w:hAnsi="宋体"/>
          <w:color w:val="auto"/>
          <w:sz w:val="22"/>
          <w:szCs w:val="21"/>
          <w:highlight w:val="none"/>
        </w:rPr>
        <w:t>检查</w:t>
      </w:r>
      <w:r>
        <w:rPr>
          <w:rFonts w:hint="eastAsia" w:ascii="宋体" w:hAnsi="宋体"/>
          <w:color w:val="auto"/>
          <w:sz w:val="22"/>
          <w:szCs w:val="21"/>
          <w:highlight w:val="none"/>
        </w:rPr>
        <w:t>采购公告中供应商资格中</w:t>
      </w:r>
      <w:r>
        <w:rPr>
          <w:rFonts w:ascii="宋体" w:hAnsi="宋体"/>
          <w:color w:val="auto"/>
          <w:sz w:val="22"/>
          <w:szCs w:val="21"/>
          <w:highlight w:val="none"/>
        </w:rPr>
        <w:t>要求相关营业执照或资质证书</w:t>
      </w:r>
      <w:r>
        <w:rPr>
          <w:rFonts w:hint="eastAsia" w:ascii="宋体" w:hAnsi="宋体"/>
          <w:color w:val="auto"/>
          <w:sz w:val="22"/>
          <w:szCs w:val="21"/>
          <w:highlight w:val="none"/>
        </w:rPr>
        <w:t>等</w:t>
      </w:r>
      <w:r>
        <w:rPr>
          <w:rFonts w:ascii="宋体" w:hAnsi="宋体"/>
          <w:color w:val="auto"/>
          <w:sz w:val="22"/>
          <w:szCs w:val="21"/>
          <w:highlight w:val="none"/>
        </w:rPr>
        <w:t>相关要求资格证书文件复印件加盖供应商公章</w:t>
      </w:r>
      <w:r>
        <w:rPr>
          <w:rFonts w:hint="eastAsia" w:ascii="宋体" w:hAnsi="宋体"/>
          <w:color w:val="auto"/>
          <w:sz w:val="22"/>
          <w:szCs w:val="21"/>
          <w:highlight w:val="none"/>
        </w:rPr>
        <w:t>是否</w:t>
      </w:r>
      <w:r>
        <w:rPr>
          <w:rFonts w:ascii="宋体" w:hAnsi="宋体"/>
          <w:color w:val="auto"/>
          <w:sz w:val="22"/>
          <w:szCs w:val="21"/>
          <w:highlight w:val="none"/>
        </w:rPr>
        <w:t>编辑在响应文件中</w:t>
      </w:r>
      <w:r>
        <w:rPr>
          <w:rFonts w:hint="eastAsia" w:ascii="宋体" w:hAnsi="宋体"/>
          <w:color w:val="auto"/>
          <w:sz w:val="22"/>
          <w:szCs w:val="21"/>
          <w:highlight w:val="none"/>
        </w:rPr>
        <w:t>。</w:t>
      </w:r>
    </w:p>
    <w:p>
      <w:pPr>
        <w:numPr>
          <w:ilvl w:val="0"/>
          <w:numId w:val="4"/>
        </w:numPr>
        <w:tabs>
          <w:tab w:val="left" w:pos="502"/>
          <w:tab w:val="left" w:pos="2279"/>
          <w:tab w:val="left" w:pos="4769"/>
        </w:tabs>
        <w:ind w:left="440" w:hanging="440" w:hangingChars="200"/>
        <w:rPr>
          <w:rFonts w:ascii="宋体" w:hAnsi="宋体"/>
          <w:b/>
          <w:color w:val="auto"/>
          <w:sz w:val="22"/>
          <w:szCs w:val="21"/>
          <w:highlight w:val="none"/>
        </w:rPr>
      </w:pPr>
      <w:r>
        <w:rPr>
          <w:rFonts w:hint="eastAsia" w:ascii="宋体" w:hAnsi="宋体"/>
          <w:color w:val="auto"/>
          <w:sz w:val="22"/>
          <w:szCs w:val="21"/>
          <w:highlight w:val="none"/>
        </w:rPr>
        <w:t>请仔细</w:t>
      </w:r>
      <w:r>
        <w:rPr>
          <w:rFonts w:ascii="宋体" w:hAnsi="宋体"/>
          <w:color w:val="auto"/>
          <w:sz w:val="22"/>
          <w:szCs w:val="21"/>
          <w:highlight w:val="none"/>
        </w:rPr>
        <w:t>根据资格性审查和符合性审查逐条检查响应文件是否符合</w:t>
      </w:r>
      <w:r>
        <w:rPr>
          <w:rFonts w:hint="eastAsia" w:ascii="宋体" w:hAnsi="宋体"/>
          <w:color w:val="auto"/>
          <w:sz w:val="22"/>
          <w:szCs w:val="21"/>
          <w:highlight w:val="none"/>
        </w:rPr>
        <w:t>磋商文件</w:t>
      </w:r>
      <w:r>
        <w:rPr>
          <w:rFonts w:ascii="宋体" w:hAnsi="宋体"/>
          <w:color w:val="auto"/>
          <w:sz w:val="22"/>
          <w:szCs w:val="21"/>
          <w:highlight w:val="none"/>
        </w:rPr>
        <w:t>要求</w:t>
      </w:r>
      <w:r>
        <w:rPr>
          <w:rFonts w:hint="eastAsia" w:ascii="宋体" w:hAnsi="宋体"/>
          <w:color w:val="auto"/>
          <w:sz w:val="22"/>
          <w:szCs w:val="21"/>
          <w:highlight w:val="none"/>
        </w:rPr>
        <w:t>，</w:t>
      </w:r>
      <w:r>
        <w:rPr>
          <w:rFonts w:ascii="宋体" w:hAnsi="宋体"/>
          <w:color w:val="auto"/>
          <w:sz w:val="22"/>
          <w:szCs w:val="21"/>
          <w:highlight w:val="none"/>
        </w:rPr>
        <w:t>检查相关证书、人员身份证是否在有效期内。</w:t>
      </w:r>
    </w:p>
    <w:p>
      <w:pPr>
        <w:numPr>
          <w:ilvl w:val="0"/>
          <w:numId w:val="4"/>
        </w:numPr>
        <w:tabs>
          <w:tab w:val="left" w:pos="502"/>
          <w:tab w:val="left" w:pos="2279"/>
          <w:tab w:val="left" w:pos="4769"/>
        </w:tabs>
        <w:ind w:left="440" w:hanging="440" w:hangingChars="200"/>
        <w:rPr>
          <w:rFonts w:ascii="宋体" w:hAnsi="宋体"/>
          <w:color w:val="auto"/>
          <w:sz w:val="22"/>
          <w:szCs w:val="21"/>
          <w:highlight w:val="none"/>
        </w:rPr>
      </w:pPr>
      <w:r>
        <w:rPr>
          <w:rFonts w:hint="eastAsia" w:ascii="宋体" w:hAnsi="宋体"/>
          <w:color w:val="auto"/>
          <w:sz w:val="22"/>
          <w:szCs w:val="21"/>
          <w:highlight w:val="none"/>
        </w:rPr>
        <w:t>请留意</w:t>
      </w:r>
      <w:r>
        <w:rPr>
          <w:rFonts w:ascii="宋体" w:hAnsi="宋体"/>
          <w:color w:val="auto"/>
          <w:sz w:val="22"/>
          <w:szCs w:val="21"/>
          <w:highlight w:val="none"/>
        </w:rPr>
        <w:t>磋商文件资格要求、</w:t>
      </w:r>
      <w:r>
        <w:rPr>
          <w:rFonts w:hint="eastAsia" w:ascii="宋体" w:hAnsi="宋体"/>
          <w:color w:val="auto"/>
          <w:sz w:val="22"/>
          <w:szCs w:val="21"/>
          <w:highlight w:val="none"/>
        </w:rPr>
        <w:t>采购需求</w:t>
      </w:r>
      <w:r>
        <w:rPr>
          <w:rFonts w:ascii="宋体" w:hAnsi="宋体"/>
          <w:color w:val="auto"/>
          <w:sz w:val="22"/>
          <w:szCs w:val="21"/>
          <w:highlight w:val="none"/>
        </w:rPr>
        <w:t>、</w:t>
      </w:r>
      <w:r>
        <w:rPr>
          <w:rFonts w:hint="eastAsia" w:ascii="宋体" w:hAnsi="宋体"/>
          <w:color w:val="auto"/>
          <w:sz w:val="22"/>
          <w:szCs w:val="21"/>
          <w:highlight w:val="none"/>
        </w:rPr>
        <w:t>须知前附表、评审程序</w:t>
      </w:r>
      <w:r>
        <w:rPr>
          <w:rFonts w:ascii="宋体" w:hAnsi="宋体"/>
          <w:color w:val="auto"/>
          <w:sz w:val="22"/>
          <w:szCs w:val="21"/>
          <w:highlight w:val="none"/>
        </w:rPr>
        <w:t>、响应文件</w:t>
      </w:r>
      <w:r>
        <w:rPr>
          <w:rFonts w:hint="eastAsia" w:ascii="宋体" w:hAnsi="宋体"/>
          <w:color w:val="auto"/>
          <w:sz w:val="22"/>
          <w:szCs w:val="21"/>
          <w:highlight w:val="none"/>
        </w:rPr>
        <w:t>格式备注说明</w:t>
      </w:r>
      <w:r>
        <w:rPr>
          <w:rFonts w:ascii="宋体" w:hAnsi="宋体"/>
          <w:color w:val="auto"/>
          <w:sz w:val="22"/>
          <w:szCs w:val="21"/>
          <w:highlight w:val="none"/>
        </w:rPr>
        <w:t>事项中</w:t>
      </w:r>
      <w:r>
        <w:rPr>
          <w:rFonts w:hint="eastAsia" w:ascii="宋体" w:hAnsi="宋体"/>
          <w:color w:val="auto"/>
          <w:sz w:val="22"/>
          <w:szCs w:val="21"/>
          <w:highlight w:val="none"/>
        </w:rPr>
        <w:t>是否</w:t>
      </w:r>
      <w:r>
        <w:rPr>
          <w:rFonts w:ascii="宋体" w:hAnsi="宋体"/>
          <w:color w:val="auto"/>
          <w:sz w:val="22"/>
          <w:szCs w:val="21"/>
          <w:highlight w:val="none"/>
        </w:rPr>
        <w:t>有要求原件</w:t>
      </w:r>
      <w:r>
        <w:rPr>
          <w:rFonts w:hint="eastAsia" w:ascii="宋体" w:hAnsi="宋体"/>
          <w:color w:val="auto"/>
          <w:sz w:val="22"/>
          <w:szCs w:val="21"/>
          <w:highlight w:val="none"/>
        </w:rPr>
        <w:t>核查</w:t>
      </w:r>
      <w:r>
        <w:rPr>
          <w:rFonts w:ascii="宋体" w:hAnsi="宋体"/>
          <w:color w:val="auto"/>
          <w:sz w:val="22"/>
          <w:szCs w:val="21"/>
          <w:highlight w:val="none"/>
        </w:rPr>
        <w:t>的，如有，请于</w:t>
      </w:r>
      <w:r>
        <w:rPr>
          <w:rFonts w:hint="eastAsia" w:ascii="宋体" w:hAnsi="宋体"/>
          <w:color w:val="auto"/>
          <w:sz w:val="22"/>
          <w:szCs w:val="21"/>
          <w:highlight w:val="none"/>
        </w:rPr>
        <w:t>开启前</w:t>
      </w:r>
      <w:r>
        <w:rPr>
          <w:rFonts w:ascii="宋体" w:hAnsi="宋体"/>
          <w:color w:val="auto"/>
          <w:sz w:val="22"/>
          <w:szCs w:val="21"/>
          <w:highlight w:val="none"/>
        </w:rPr>
        <w:t>，将原件</w:t>
      </w:r>
      <w:r>
        <w:rPr>
          <w:rFonts w:hint="eastAsia" w:ascii="宋体" w:hAnsi="宋体"/>
          <w:color w:val="auto"/>
          <w:sz w:val="22"/>
          <w:szCs w:val="21"/>
          <w:highlight w:val="none"/>
        </w:rPr>
        <w:t>（</w:t>
      </w:r>
      <w:r>
        <w:rPr>
          <w:rFonts w:ascii="宋体" w:hAnsi="宋体"/>
          <w:color w:val="auto"/>
          <w:sz w:val="22"/>
          <w:szCs w:val="21"/>
          <w:highlight w:val="none"/>
        </w:rPr>
        <w:t>请提前准备好递交原件清单</w:t>
      </w:r>
      <w:r>
        <w:rPr>
          <w:rFonts w:hint="eastAsia" w:ascii="宋体" w:hAnsi="宋体"/>
          <w:color w:val="auto"/>
          <w:sz w:val="22"/>
          <w:szCs w:val="21"/>
          <w:highlight w:val="none"/>
        </w:rPr>
        <w:t>）连同</w:t>
      </w:r>
      <w:r>
        <w:rPr>
          <w:rFonts w:ascii="宋体" w:hAnsi="宋体"/>
          <w:color w:val="auto"/>
          <w:sz w:val="22"/>
          <w:szCs w:val="21"/>
          <w:highlight w:val="none"/>
        </w:rPr>
        <w:t>响应文件一</w:t>
      </w:r>
      <w:r>
        <w:rPr>
          <w:rFonts w:hint="eastAsia" w:ascii="宋体" w:hAnsi="宋体"/>
          <w:color w:val="auto"/>
          <w:sz w:val="22"/>
          <w:szCs w:val="21"/>
          <w:highlight w:val="none"/>
        </w:rPr>
        <w:t>并</w:t>
      </w:r>
      <w:r>
        <w:rPr>
          <w:rFonts w:ascii="宋体" w:hAnsi="宋体"/>
          <w:color w:val="auto"/>
          <w:sz w:val="22"/>
          <w:szCs w:val="21"/>
          <w:highlight w:val="none"/>
        </w:rPr>
        <w:t>递交。</w:t>
      </w:r>
    </w:p>
    <w:p>
      <w:pPr>
        <w:numPr>
          <w:ilvl w:val="0"/>
          <w:numId w:val="4"/>
        </w:numPr>
        <w:tabs>
          <w:tab w:val="left" w:pos="502"/>
          <w:tab w:val="left" w:pos="2279"/>
          <w:tab w:val="left" w:pos="4769"/>
        </w:tabs>
        <w:ind w:left="440" w:hanging="440" w:hangingChars="200"/>
        <w:rPr>
          <w:rFonts w:ascii="宋体" w:hAnsi="宋体"/>
          <w:color w:val="auto"/>
          <w:sz w:val="22"/>
          <w:szCs w:val="21"/>
          <w:highlight w:val="none"/>
        </w:rPr>
      </w:pPr>
      <w:r>
        <w:rPr>
          <w:rFonts w:hint="eastAsia" w:ascii="宋体" w:hAnsi="宋体"/>
          <w:color w:val="auto"/>
          <w:sz w:val="22"/>
          <w:szCs w:val="21"/>
          <w:highlight w:val="none"/>
        </w:rPr>
        <w:t>磋商文件</w:t>
      </w:r>
      <w:r>
        <w:rPr>
          <w:rFonts w:ascii="宋体" w:hAnsi="宋体"/>
          <w:color w:val="auto"/>
          <w:sz w:val="22"/>
          <w:szCs w:val="21"/>
          <w:highlight w:val="none"/>
        </w:rPr>
        <w:t>中如有实质性条款要求，则响应文件格式中《</w:t>
      </w:r>
      <w:r>
        <w:rPr>
          <w:rFonts w:hint="eastAsia" w:ascii="宋体" w:hAnsi="宋体"/>
          <w:color w:val="auto"/>
          <w:sz w:val="22"/>
          <w:szCs w:val="21"/>
          <w:highlight w:val="none"/>
        </w:rPr>
        <w:t>实质性条款响应表》</w:t>
      </w:r>
      <w:r>
        <w:rPr>
          <w:rFonts w:ascii="宋体" w:hAnsi="宋体"/>
          <w:color w:val="auto"/>
          <w:sz w:val="22"/>
          <w:szCs w:val="21"/>
          <w:highlight w:val="none"/>
        </w:rPr>
        <w:t>不能留空白，一定要按照磋商文件要求填写。</w:t>
      </w:r>
    </w:p>
    <w:p>
      <w:pPr>
        <w:numPr>
          <w:ilvl w:val="0"/>
          <w:numId w:val="4"/>
        </w:numPr>
        <w:tabs>
          <w:tab w:val="left" w:pos="502"/>
          <w:tab w:val="left" w:pos="2279"/>
          <w:tab w:val="left" w:pos="4769"/>
        </w:tabs>
        <w:ind w:left="440" w:hanging="440" w:hangingChars="200"/>
        <w:rPr>
          <w:rFonts w:ascii="宋体" w:hAnsi="宋体"/>
          <w:color w:val="auto"/>
          <w:sz w:val="22"/>
          <w:szCs w:val="21"/>
          <w:highlight w:val="none"/>
        </w:rPr>
      </w:pPr>
      <w:r>
        <w:rPr>
          <w:rFonts w:hint="eastAsia" w:ascii="宋体" w:hAnsi="宋体"/>
          <w:color w:val="auto"/>
          <w:sz w:val="22"/>
          <w:szCs w:val="21"/>
          <w:highlight w:val="none"/>
        </w:rPr>
        <w:t>请正确填写《首轮报价表》、《分项报价表》（如有）。多包组项目请仔细检查包组号，包组号与包组采购内容必须对应。</w:t>
      </w:r>
    </w:p>
    <w:p>
      <w:pPr>
        <w:numPr>
          <w:ilvl w:val="0"/>
          <w:numId w:val="4"/>
        </w:numPr>
        <w:tabs>
          <w:tab w:val="left" w:pos="502"/>
          <w:tab w:val="left" w:pos="1408"/>
          <w:tab w:val="left" w:pos="4769"/>
        </w:tabs>
        <w:ind w:left="440" w:hanging="440" w:hangingChars="200"/>
        <w:rPr>
          <w:rFonts w:ascii="宋体" w:hAnsi="宋体"/>
          <w:color w:val="auto"/>
          <w:sz w:val="22"/>
          <w:szCs w:val="21"/>
          <w:highlight w:val="none"/>
        </w:rPr>
      </w:pPr>
      <w:r>
        <w:rPr>
          <w:rFonts w:hint="eastAsia" w:ascii="宋体" w:hAnsi="宋体"/>
          <w:color w:val="auto"/>
          <w:sz w:val="22"/>
          <w:szCs w:val="21"/>
          <w:highlight w:val="none"/>
        </w:rPr>
        <w:t>如响应产品属于许可证管理范围内的，须提交相应的许可证复印件。</w:t>
      </w:r>
    </w:p>
    <w:p>
      <w:pPr>
        <w:numPr>
          <w:ilvl w:val="0"/>
          <w:numId w:val="4"/>
        </w:numPr>
        <w:tabs>
          <w:tab w:val="left" w:pos="502"/>
          <w:tab w:val="left" w:pos="1408"/>
          <w:tab w:val="left" w:pos="4769"/>
        </w:tabs>
        <w:ind w:left="440" w:hanging="440" w:hangingChars="200"/>
        <w:rPr>
          <w:rFonts w:ascii="宋体" w:hAnsi="宋体"/>
          <w:color w:val="auto"/>
          <w:sz w:val="22"/>
          <w:szCs w:val="21"/>
          <w:highlight w:val="none"/>
        </w:rPr>
      </w:pPr>
      <w:r>
        <w:rPr>
          <w:rFonts w:hint="eastAsia" w:ascii="宋体" w:hAnsi="宋体"/>
          <w:color w:val="auto"/>
          <w:sz w:val="22"/>
          <w:szCs w:val="21"/>
          <w:highlight w:val="none"/>
        </w:rPr>
        <w:t>为了提高采购效率，节约社会交易成本与时间，我司希望购买了磋商文件的供应商如果决定放弃响应，在响应文件递交截止时间的3日前，以书面盖章形式告知采购代理机构</w:t>
      </w:r>
      <w:r>
        <w:rPr>
          <w:rFonts w:hint="eastAsia" w:ascii="宋体" w:hAnsi="宋体"/>
          <w:color w:val="auto"/>
          <w:szCs w:val="21"/>
          <w:highlight w:val="none"/>
        </w:rPr>
        <w:t>：</w:t>
      </w:r>
      <w:r>
        <w:rPr>
          <w:rFonts w:ascii="宋体" w:hAnsi="宋体"/>
          <w:color w:val="auto"/>
          <w:szCs w:val="21"/>
          <w:highlight w:val="none"/>
        </w:rPr>
        <w:t>gddhzb@163.com</w:t>
      </w:r>
      <w:r>
        <w:rPr>
          <w:rFonts w:ascii="宋体" w:hAnsi="宋体"/>
          <w:color w:val="auto"/>
          <w:sz w:val="22"/>
          <w:szCs w:val="21"/>
          <w:highlight w:val="none"/>
        </w:rPr>
        <w:t>。</w:t>
      </w:r>
    </w:p>
    <w:p>
      <w:pPr>
        <w:numPr>
          <w:ilvl w:val="0"/>
          <w:numId w:val="4"/>
        </w:numPr>
        <w:tabs>
          <w:tab w:val="left" w:pos="502"/>
          <w:tab w:val="left" w:pos="1408"/>
          <w:tab w:val="left" w:pos="4769"/>
        </w:tabs>
        <w:ind w:left="440" w:hanging="440" w:hangingChars="200"/>
        <w:jc w:val="left"/>
        <w:rPr>
          <w:rFonts w:ascii="宋体" w:hAnsi="宋体"/>
          <w:color w:val="auto"/>
          <w:sz w:val="22"/>
          <w:szCs w:val="21"/>
          <w:highlight w:val="none"/>
        </w:rPr>
      </w:pPr>
      <w:r>
        <w:rPr>
          <w:rFonts w:hint="eastAsia" w:ascii="宋体" w:hAnsi="宋体"/>
          <w:color w:val="auto"/>
          <w:sz w:val="22"/>
          <w:szCs w:val="21"/>
          <w:highlight w:val="none"/>
        </w:rPr>
        <w:t>根据“节约能源、保护环境”要求，建议供应商双面打印响应文件。</w:t>
      </w:r>
    </w:p>
    <w:p>
      <w:pPr>
        <w:rPr>
          <w:rFonts w:ascii="宋体" w:hAnsi="宋体"/>
          <w:b/>
          <w:color w:val="auto"/>
          <w:sz w:val="22"/>
          <w:szCs w:val="21"/>
          <w:highlight w:val="none"/>
        </w:rPr>
      </w:pPr>
      <w:r>
        <w:rPr>
          <w:rFonts w:ascii="宋体" w:hAnsi="宋体"/>
          <w:b/>
          <w:color w:val="auto"/>
          <w:sz w:val="22"/>
          <w:szCs w:val="21"/>
          <w:highlight w:val="none"/>
        </w:rPr>
        <w:br w:type="page"/>
      </w:r>
    </w:p>
    <w:p>
      <w:pPr>
        <w:tabs>
          <w:tab w:val="left" w:pos="502"/>
          <w:tab w:val="left" w:pos="1408"/>
          <w:tab w:val="left" w:pos="4769"/>
        </w:tabs>
        <w:jc w:val="center"/>
        <w:rPr>
          <w:rFonts w:ascii="宋体" w:hAnsi="宋体"/>
          <w:b/>
          <w:color w:val="auto"/>
          <w:sz w:val="22"/>
          <w:szCs w:val="21"/>
          <w:highlight w:val="none"/>
        </w:rPr>
      </w:pPr>
    </w:p>
    <w:p>
      <w:pPr>
        <w:jc w:val="center"/>
        <w:rPr>
          <w:rFonts w:ascii="宋体" w:hAnsi="宋体"/>
          <w:b/>
          <w:bCs/>
          <w:color w:val="auto"/>
          <w:sz w:val="52"/>
          <w:szCs w:val="52"/>
          <w:highlight w:val="none"/>
        </w:rPr>
      </w:pPr>
      <w:r>
        <w:rPr>
          <w:rFonts w:hint="eastAsia" w:ascii="宋体" w:hAnsi="宋体"/>
          <w:b/>
          <w:bCs/>
          <w:color w:val="auto"/>
          <w:sz w:val="52"/>
          <w:szCs w:val="52"/>
          <w:highlight w:val="none"/>
        </w:rPr>
        <w:t>目</w:t>
      </w:r>
      <w:r>
        <w:rPr>
          <w:rFonts w:hint="eastAsia" w:ascii="宋体" w:hAnsi="宋体"/>
          <w:b/>
          <w:bCs/>
          <w:color w:val="auto"/>
          <w:sz w:val="52"/>
          <w:szCs w:val="52"/>
          <w:highlight w:val="none"/>
        </w:rPr>
        <w:tab/>
      </w:r>
      <w:r>
        <w:rPr>
          <w:rFonts w:hint="eastAsia" w:ascii="宋体" w:hAnsi="宋体"/>
          <w:b/>
          <w:bCs/>
          <w:color w:val="auto"/>
          <w:sz w:val="52"/>
          <w:szCs w:val="52"/>
          <w:highlight w:val="none"/>
        </w:rPr>
        <w:t xml:space="preserve">  录</w:t>
      </w:r>
    </w:p>
    <w:p>
      <w:pPr>
        <w:pStyle w:val="31"/>
        <w:tabs>
          <w:tab w:val="right" w:leader="dot" w:pos="9016"/>
        </w:tabs>
        <w:rPr>
          <w:rFonts w:hAnsiTheme="minorHAnsi" w:eastAsiaTheme="minorEastAsia" w:cstheme="minorBidi"/>
          <w:b w:val="0"/>
          <w:bCs w:val="0"/>
          <w:caps w:val="0"/>
          <w:color w:val="auto"/>
          <w:sz w:val="21"/>
          <w:szCs w:val="22"/>
          <w:highlight w:val="none"/>
        </w:rPr>
      </w:pPr>
      <w:bookmarkStart w:id="1" w:name="_Toc103216633"/>
      <w:bookmarkStart w:id="2" w:name="_Toc104040676"/>
      <w:r>
        <w:rPr>
          <w:rFonts w:ascii="宋体" w:hAnsi="宋体"/>
          <w:b w:val="0"/>
          <w:bCs w:val="0"/>
          <w:color w:val="auto"/>
          <w:szCs w:val="21"/>
          <w:highlight w:val="none"/>
        </w:rPr>
        <w:fldChar w:fldCharType="begin"/>
      </w:r>
      <w:r>
        <w:rPr>
          <w:rFonts w:ascii="宋体" w:hAnsi="宋体"/>
          <w:b w:val="0"/>
          <w:bCs w:val="0"/>
          <w:color w:val="auto"/>
          <w:szCs w:val="21"/>
          <w:highlight w:val="none"/>
        </w:rPr>
        <w:instrText xml:space="preserve"> TOC \o "1-1" \h \z \u </w:instrText>
      </w:r>
      <w:r>
        <w:rPr>
          <w:rFonts w:ascii="宋体" w:hAnsi="宋体"/>
          <w:b w:val="0"/>
          <w:bCs w:val="0"/>
          <w:color w:val="auto"/>
          <w:szCs w:val="21"/>
          <w:highlight w:val="none"/>
        </w:rPr>
        <w:fldChar w:fldCharType="separate"/>
      </w:r>
      <w:r>
        <w:rPr>
          <w:color w:val="auto"/>
          <w:highlight w:val="none"/>
        </w:rPr>
        <w:fldChar w:fldCharType="begin"/>
      </w:r>
      <w:r>
        <w:rPr>
          <w:color w:val="auto"/>
          <w:highlight w:val="none"/>
        </w:rPr>
        <w:instrText xml:space="preserve"> HYPERLINK \l "_Toc114516593" </w:instrText>
      </w:r>
      <w:r>
        <w:rPr>
          <w:color w:val="auto"/>
          <w:highlight w:val="none"/>
        </w:rPr>
        <w:fldChar w:fldCharType="separate"/>
      </w:r>
      <w:r>
        <w:rPr>
          <w:rStyle w:val="57"/>
          <w:rFonts w:ascii="宋体" w:hAnsi="宋体"/>
          <w:color w:val="auto"/>
          <w:highlight w:val="none"/>
        </w:rPr>
        <w:t>第一章 磋商邀请</w:t>
      </w:r>
      <w:r>
        <w:rPr>
          <w:color w:val="auto"/>
          <w:highlight w:val="none"/>
        </w:rPr>
        <w:tab/>
      </w:r>
      <w:r>
        <w:rPr>
          <w:color w:val="auto"/>
          <w:highlight w:val="none"/>
        </w:rPr>
        <w:fldChar w:fldCharType="begin"/>
      </w:r>
      <w:r>
        <w:rPr>
          <w:color w:val="auto"/>
          <w:highlight w:val="none"/>
        </w:rPr>
        <w:instrText xml:space="preserve"> PAGEREF _Toc114516593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31"/>
        <w:tabs>
          <w:tab w:val="right" w:leader="dot" w:pos="9016"/>
        </w:tabs>
        <w:rPr>
          <w:rFonts w:hAnsiTheme="minorHAnsi" w:eastAsiaTheme="minorEastAsia" w:cstheme="minorBidi"/>
          <w:b w:val="0"/>
          <w:bCs w:val="0"/>
          <w:caps w:val="0"/>
          <w:color w:val="auto"/>
          <w:sz w:val="21"/>
          <w:szCs w:val="22"/>
          <w:highlight w:val="none"/>
        </w:rPr>
      </w:pPr>
      <w:r>
        <w:rPr>
          <w:color w:val="auto"/>
          <w:highlight w:val="none"/>
        </w:rPr>
        <w:fldChar w:fldCharType="begin"/>
      </w:r>
      <w:r>
        <w:rPr>
          <w:color w:val="auto"/>
          <w:highlight w:val="none"/>
        </w:rPr>
        <w:instrText xml:space="preserve"> HYPERLINK \l "_Toc114516594" </w:instrText>
      </w:r>
      <w:r>
        <w:rPr>
          <w:color w:val="auto"/>
          <w:highlight w:val="none"/>
        </w:rPr>
        <w:fldChar w:fldCharType="separate"/>
      </w:r>
      <w:r>
        <w:rPr>
          <w:rStyle w:val="57"/>
          <w:rFonts w:ascii="宋体" w:hAnsi="宋体"/>
          <w:color w:val="auto"/>
          <w:highlight w:val="none"/>
        </w:rPr>
        <w:t>第二章 采购需求</w:t>
      </w:r>
      <w:r>
        <w:rPr>
          <w:color w:val="auto"/>
          <w:highlight w:val="none"/>
        </w:rPr>
        <w:tab/>
      </w:r>
      <w:r>
        <w:rPr>
          <w:color w:val="auto"/>
          <w:highlight w:val="none"/>
        </w:rPr>
        <w:fldChar w:fldCharType="begin"/>
      </w:r>
      <w:r>
        <w:rPr>
          <w:color w:val="auto"/>
          <w:highlight w:val="none"/>
        </w:rPr>
        <w:instrText xml:space="preserve"> PAGEREF _Toc114516594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31"/>
        <w:tabs>
          <w:tab w:val="right" w:leader="dot" w:pos="9016"/>
        </w:tabs>
        <w:rPr>
          <w:rFonts w:hAnsiTheme="minorHAnsi" w:eastAsiaTheme="minorEastAsia" w:cstheme="minorBidi"/>
          <w:b w:val="0"/>
          <w:bCs w:val="0"/>
          <w:caps w:val="0"/>
          <w:color w:val="auto"/>
          <w:sz w:val="21"/>
          <w:szCs w:val="22"/>
          <w:highlight w:val="none"/>
        </w:rPr>
      </w:pPr>
      <w:r>
        <w:rPr>
          <w:color w:val="auto"/>
          <w:highlight w:val="none"/>
        </w:rPr>
        <w:fldChar w:fldCharType="begin"/>
      </w:r>
      <w:r>
        <w:rPr>
          <w:color w:val="auto"/>
          <w:highlight w:val="none"/>
        </w:rPr>
        <w:instrText xml:space="preserve"> HYPERLINK \l "_Toc114516595" </w:instrText>
      </w:r>
      <w:r>
        <w:rPr>
          <w:color w:val="auto"/>
          <w:highlight w:val="none"/>
        </w:rPr>
        <w:fldChar w:fldCharType="separate"/>
      </w:r>
      <w:r>
        <w:rPr>
          <w:rStyle w:val="57"/>
          <w:rFonts w:ascii="宋体" w:hAnsi="宋体"/>
          <w:color w:val="auto"/>
          <w:highlight w:val="none"/>
        </w:rPr>
        <w:t>第三章 供应商须知</w:t>
      </w:r>
      <w:r>
        <w:rPr>
          <w:color w:val="auto"/>
          <w:highlight w:val="none"/>
        </w:rPr>
        <w:tab/>
      </w:r>
      <w:r>
        <w:rPr>
          <w:color w:val="auto"/>
          <w:highlight w:val="none"/>
        </w:rPr>
        <w:fldChar w:fldCharType="begin"/>
      </w:r>
      <w:r>
        <w:rPr>
          <w:color w:val="auto"/>
          <w:highlight w:val="none"/>
        </w:rPr>
        <w:instrText xml:space="preserve"> PAGEREF _Toc114516595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31"/>
        <w:tabs>
          <w:tab w:val="right" w:leader="dot" w:pos="9016"/>
        </w:tabs>
        <w:rPr>
          <w:rFonts w:hAnsiTheme="minorHAnsi" w:eastAsiaTheme="minorEastAsia" w:cstheme="minorBidi"/>
          <w:b w:val="0"/>
          <w:bCs w:val="0"/>
          <w:caps w:val="0"/>
          <w:color w:val="auto"/>
          <w:sz w:val="21"/>
          <w:szCs w:val="22"/>
          <w:highlight w:val="none"/>
        </w:rPr>
      </w:pPr>
      <w:r>
        <w:rPr>
          <w:color w:val="auto"/>
          <w:highlight w:val="none"/>
        </w:rPr>
        <w:fldChar w:fldCharType="begin"/>
      </w:r>
      <w:r>
        <w:rPr>
          <w:color w:val="auto"/>
          <w:highlight w:val="none"/>
        </w:rPr>
        <w:instrText xml:space="preserve"> HYPERLINK \l "_Toc114516596" </w:instrText>
      </w:r>
      <w:r>
        <w:rPr>
          <w:color w:val="auto"/>
          <w:highlight w:val="none"/>
        </w:rPr>
        <w:fldChar w:fldCharType="separate"/>
      </w:r>
      <w:r>
        <w:rPr>
          <w:rStyle w:val="57"/>
          <w:rFonts w:ascii="宋体" w:hAnsi="宋体"/>
          <w:color w:val="auto"/>
          <w:highlight w:val="none"/>
        </w:rPr>
        <w:t>第四章 评审</w:t>
      </w:r>
      <w:r>
        <w:rPr>
          <w:color w:val="auto"/>
          <w:highlight w:val="none"/>
        </w:rPr>
        <w:tab/>
      </w:r>
      <w:r>
        <w:rPr>
          <w:color w:val="auto"/>
          <w:highlight w:val="none"/>
        </w:rPr>
        <w:fldChar w:fldCharType="begin"/>
      </w:r>
      <w:r>
        <w:rPr>
          <w:color w:val="auto"/>
          <w:highlight w:val="none"/>
        </w:rPr>
        <w:instrText xml:space="preserve"> PAGEREF _Toc114516596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pPr>
        <w:pStyle w:val="31"/>
        <w:tabs>
          <w:tab w:val="right" w:leader="dot" w:pos="9016"/>
        </w:tabs>
        <w:rPr>
          <w:rFonts w:hAnsiTheme="minorHAnsi" w:eastAsiaTheme="minorEastAsia" w:cstheme="minorBidi"/>
          <w:b w:val="0"/>
          <w:bCs w:val="0"/>
          <w:caps w:val="0"/>
          <w:color w:val="auto"/>
          <w:sz w:val="21"/>
          <w:szCs w:val="22"/>
          <w:highlight w:val="none"/>
        </w:rPr>
      </w:pPr>
      <w:r>
        <w:rPr>
          <w:color w:val="auto"/>
          <w:highlight w:val="none"/>
        </w:rPr>
        <w:fldChar w:fldCharType="begin"/>
      </w:r>
      <w:r>
        <w:rPr>
          <w:color w:val="auto"/>
          <w:highlight w:val="none"/>
        </w:rPr>
        <w:instrText xml:space="preserve"> HYPERLINK \l "_Toc114516597" </w:instrText>
      </w:r>
      <w:r>
        <w:rPr>
          <w:color w:val="auto"/>
          <w:highlight w:val="none"/>
        </w:rPr>
        <w:fldChar w:fldCharType="separate"/>
      </w:r>
      <w:r>
        <w:rPr>
          <w:rStyle w:val="57"/>
          <w:rFonts w:ascii="宋体" w:hAnsi="宋体"/>
          <w:color w:val="auto"/>
          <w:highlight w:val="none"/>
        </w:rPr>
        <w:t>第五章 合同文本</w:t>
      </w:r>
      <w:r>
        <w:rPr>
          <w:color w:val="auto"/>
          <w:highlight w:val="none"/>
        </w:rPr>
        <w:tab/>
      </w:r>
      <w:r>
        <w:rPr>
          <w:color w:val="auto"/>
          <w:highlight w:val="none"/>
        </w:rPr>
        <w:fldChar w:fldCharType="begin"/>
      </w:r>
      <w:r>
        <w:rPr>
          <w:color w:val="auto"/>
          <w:highlight w:val="none"/>
        </w:rPr>
        <w:instrText xml:space="preserve"> PAGEREF _Toc114516597 \h </w:instrText>
      </w:r>
      <w:r>
        <w:rPr>
          <w:color w:val="auto"/>
          <w:highlight w:val="none"/>
        </w:rPr>
        <w:fldChar w:fldCharType="separate"/>
      </w:r>
      <w:r>
        <w:rPr>
          <w:color w:val="auto"/>
          <w:highlight w:val="none"/>
        </w:rPr>
        <w:t>36</w:t>
      </w:r>
      <w:r>
        <w:rPr>
          <w:color w:val="auto"/>
          <w:highlight w:val="none"/>
        </w:rPr>
        <w:fldChar w:fldCharType="end"/>
      </w:r>
      <w:r>
        <w:rPr>
          <w:color w:val="auto"/>
          <w:highlight w:val="none"/>
        </w:rPr>
        <w:fldChar w:fldCharType="end"/>
      </w:r>
    </w:p>
    <w:p>
      <w:pPr>
        <w:pStyle w:val="31"/>
        <w:tabs>
          <w:tab w:val="right" w:leader="dot" w:pos="9016"/>
        </w:tabs>
        <w:rPr>
          <w:rFonts w:hAnsiTheme="minorHAnsi" w:eastAsiaTheme="minorEastAsia" w:cstheme="minorBidi"/>
          <w:b w:val="0"/>
          <w:bCs w:val="0"/>
          <w:caps w:val="0"/>
          <w:color w:val="auto"/>
          <w:sz w:val="21"/>
          <w:szCs w:val="22"/>
          <w:highlight w:val="none"/>
        </w:rPr>
      </w:pPr>
      <w:r>
        <w:rPr>
          <w:color w:val="auto"/>
          <w:highlight w:val="none"/>
        </w:rPr>
        <w:fldChar w:fldCharType="begin"/>
      </w:r>
      <w:r>
        <w:rPr>
          <w:color w:val="auto"/>
          <w:highlight w:val="none"/>
        </w:rPr>
        <w:instrText xml:space="preserve"> HYPERLINK \l "_Toc114516598" </w:instrText>
      </w:r>
      <w:r>
        <w:rPr>
          <w:color w:val="auto"/>
          <w:highlight w:val="none"/>
        </w:rPr>
        <w:fldChar w:fldCharType="separate"/>
      </w:r>
      <w:r>
        <w:rPr>
          <w:rStyle w:val="57"/>
          <w:rFonts w:ascii="宋体" w:hAnsi="宋体"/>
          <w:color w:val="auto"/>
          <w:highlight w:val="none"/>
        </w:rPr>
        <w:t>第六章 响应文件格式与要求</w:t>
      </w:r>
      <w:r>
        <w:rPr>
          <w:color w:val="auto"/>
          <w:highlight w:val="none"/>
        </w:rPr>
        <w:tab/>
      </w:r>
      <w:r>
        <w:rPr>
          <w:color w:val="auto"/>
          <w:highlight w:val="none"/>
        </w:rPr>
        <w:fldChar w:fldCharType="begin"/>
      </w:r>
      <w:r>
        <w:rPr>
          <w:color w:val="auto"/>
          <w:highlight w:val="none"/>
        </w:rPr>
        <w:instrText xml:space="preserve"> PAGEREF _Toc114516598 \h </w:instrText>
      </w:r>
      <w:r>
        <w:rPr>
          <w:color w:val="auto"/>
          <w:highlight w:val="none"/>
        </w:rPr>
        <w:fldChar w:fldCharType="separate"/>
      </w:r>
      <w:r>
        <w:rPr>
          <w:color w:val="auto"/>
          <w:highlight w:val="none"/>
        </w:rPr>
        <w:t>40</w:t>
      </w:r>
      <w:r>
        <w:rPr>
          <w:color w:val="auto"/>
          <w:highlight w:val="none"/>
        </w:rPr>
        <w:fldChar w:fldCharType="end"/>
      </w:r>
      <w:r>
        <w:rPr>
          <w:color w:val="auto"/>
          <w:highlight w:val="none"/>
        </w:rPr>
        <w:fldChar w:fldCharType="end"/>
      </w:r>
    </w:p>
    <w:p>
      <w:pPr>
        <w:rPr>
          <w:rFonts w:ascii="宋体" w:hAnsi="宋体"/>
          <w:color w:val="auto"/>
          <w:szCs w:val="21"/>
          <w:highlight w:val="none"/>
        </w:rPr>
      </w:pPr>
      <w:r>
        <w:rPr>
          <w:rFonts w:ascii="宋体" w:hAnsi="宋体"/>
          <w:b/>
          <w:bCs/>
          <w:color w:val="auto"/>
          <w:sz w:val="32"/>
          <w:szCs w:val="21"/>
          <w:highlight w:val="none"/>
        </w:rPr>
        <w:fldChar w:fldCharType="end"/>
      </w:r>
    </w:p>
    <w:p>
      <w:pPr>
        <w:pStyle w:val="3"/>
        <w:rPr>
          <w:rFonts w:ascii="宋体" w:hAnsi="宋体"/>
          <w:color w:val="auto"/>
          <w:sz w:val="24"/>
          <w:highlight w:val="none"/>
        </w:rPr>
      </w:pPr>
      <w:r>
        <w:rPr>
          <w:color w:val="auto"/>
          <w:highlight w:val="none"/>
        </w:rPr>
        <w:br w:type="page"/>
      </w:r>
      <w:bookmarkStart w:id="3" w:name="_Toc114516593"/>
      <w:r>
        <w:rPr>
          <w:rFonts w:hint="eastAsia"/>
          <w:color w:val="auto"/>
          <w:highlight w:val="none"/>
        </w:rPr>
        <w:t>第一章 磋商邀请</w:t>
      </w:r>
      <w:bookmarkEnd w:id="1"/>
      <w:bookmarkEnd w:id="2"/>
      <w:bookmarkEnd w:id="3"/>
    </w:p>
    <w:p>
      <w:pPr>
        <w:pStyle w:val="4"/>
        <w:numPr>
          <w:ilvl w:val="0"/>
          <w:numId w:val="5"/>
        </w:numPr>
        <w:rPr>
          <w:color w:val="auto"/>
          <w:highlight w:val="none"/>
        </w:rPr>
      </w:pPr>
      <w:bookmarkStart w:id="4" w:name="_Toc104040677"/>
      <w:r>
        <w:rPr>
          <w:color w:val="auto"/>
          <w:highlight w:val="none"/>
        </w:rPr>
        <w:t>项目基本情况</w:t>
      </w:r>
      <w:bookmarkEnd w:id="4"/>
    </w:p>
    <w:p>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项目编号：</w:t>
      </w:r>
      <w:r>
        <w:rPr>
          <w:rFonts w:hint="eastAsia" w:ascii="宋体" w:hAnsi="宋体"/>
          <w:color w:val="auto"/>
          <w:szCs w:val="21"/>
          <w:highlight w:val="none"/>
          <w:lang w:eastAsia="zh-CN"/>
        </w:rPr>
        <w:t>GDDHZB20240021</w:t>
      </w:r>
    </w:p>
    <w:p>
      <w:pPr>
        <w:ind w:firstLine="420" w:firstLineChars="200"/>
        <w:rPr>
          <w:rFonts w:ascii="宋体" w:hAnsi="宋体"/>
          <w:color w:val="auto"/>
          <w:szCs w:val="21"/>
          <w:highlight w:val="none"/>
        </w:rPr>
      </w:pPr>
      <w:r>
        <w:rPr>
          <w:rFonts w:hint="eastAsia" w:ascii="宋体" w:hAnsi="宋体"/>
          <w:color w:val="auto"/>
          <w:szCs w:val="21"/>
          <w:highlight w:val="none"/>
        </w:rPr>
        <w:t>项目名称：信宜市中医院食堂副食品及其配送服务项目</w:t>
      </w:r>
    </w:p>
    <w:p>
      <w:pPr>
        <w:ind w:firstLine="420" w:firstLineChars="200"/>
        <w:rPr>
          <w:rFonts w:ascii="宋体" w:hAnsi="宋体"/>
          <w:color w:val="auto"/>
          <w:szCs w:val="21"/>
          <w:highlight w:val="none"/>
        </w:rPr>
      </w:pPr>
      <w:r>
        <w:rPr>
          <w:rFonts w:hint="eastAsia" w:ascii="宋体" w:hAnsi="宋体"/>
          <w:color w:val="auto"/>
          <w:szCs w:val="21"/>
          <w:highlight w:val="none"/>
        </w:rPr>
        <w:t>采购方式：竞争性磋商</w:t>
      </w:r>
    </w:p>
    <w:p>
      <w:pPr>
        <w:ind w:firstLine="420" w:firstLineChars="200"/>
        <w:rPr>
          <w:rFonts w:ascii="宋体" w:hAnsi="宋体"/>
          <w:color w:val="auto"/>
          <w:szCs w:val="21"/>
          <w:highlight w:val="none"/>
        </w:rPr>
      </w:pPr>
      <w:r>
        <w:rPr>
          <w:rFonts w:hint="eastAsia" w:ascii="宋体" w:hAnsi="宋体"/>
          <w:color w:val="auto"/>
          <w:szCs w:val="21"/>
          <w:highlight w:val="none"/>
        </w:rPr>
        <w:t>预算金额：</w:t>
      </w:r>
      <w:r>
        <w:rPr>
          <w:rFonts w:hint="eastAsia" w:ascii="宋体" w:hAnsi="宋体" w:eastAsia="宋体" w:cs="Times New Roman"/>
          <w:color w:val="auto"/>
          <w:szCs w:val="21"/>
          <w:highlight w:val="none"/>
          <w:lang w:val="en-US" w:eastAsia="zh-CN"/>
        </w:rPr>
        <w:t>650,000.00</w:t>
      </w:r>
      <w:r>
        <w:rPr>
          <w:rFonts w:hint="eastAsia" w:ascii="宋体" w:hAnsi="宋体" w:eastAsia="宋体" w:cs="Times New Roman"/>
          <w:color w:val="auto"/>
          <w:szCs w:val="21"/>
          <w:highlight w:val="none"/>
        </w:rPr>
        <w:t>元</w:t>
      </w:r>
    </w:p>
    <w:p>
      <w:pPr>
        <w:ind w:firstLine="420" w:firstLineChars="200"/>
        <w:rPr>
          <w:rFonts w:ascii="宋体" w:hAnsi="宋体"/>
          <w:color w:val="auto"/>
          <w:szCs w:val="21"/>
          <w:highlight w:val="none"/>
        </w:rPr>
      </w:pPr>
      <w:bookmarkStart w:id="5" w:name="_Hlk70530579"/>
      <w:bookmarkStart w:id="6" w:name="_Hlk104155903"/>
      <w:r>
        <w:rPr>
          <w:rFonts w:hint="eastAsia" w:ascii="宋体" w:hAnsi="宋体"/>
          <w:color w:val="auto"/>
          <w:szCs w:val="21"/>
          <w:highlight w:val="none"/>
        </w:rPr>
        <w:t>最高限价（如有）：</w:t>
      </w:r>
      <w:r>
        <w:rPr>
          <w:rFonts w:hint="eastAsia" w:ascii="宋体" w:hAnsi="宋体" w:eastAsia="宋体" w:cs="Times New Roman"/>
          <w:color w:val="auto"/>
          <w:szCs w:val="21"/>
          <w:highlight w:val="none"/>
          <w:lang w:val="en-US" w:eastAsia="zh-CN"/>
        </w:rPr>
        <w:t>650,000.00</w:t>
      </w:r>
      <w:r>
        <w:rPr>
          <w:rFonts w:hint="eastAsia" w:ascii="宋体" w:hAnsi="宋体" w:eastAsia="宋体" w:cs="Times New Roman"/>
          <w:color w:val="auto"/>
          <w:szCs w:val="21"/>
          <w:highlight w:val="none"/>
        </w:rPr>
        <w:t>元</w:t>
      </w:r>
      <w:r>
        <w:rPr>
          <w:rFonts w:hint="eastAsia" w:ascii="宋体" w:hAnsi="宋体" w:eastAsia="宋体" w:cs="Times New Roman"/>
          <w:color w:val="auto"/>
          <w:szCs w:val="21"/>
          <w:highlight w:val="none"/>
          <w:lang w:val="en-US" w:eastAsia="zh-CN"/>
        </w:rPr>
        <w:t>（</w:t>
      </w:r>
      <w:r>
        <w:rPr>
          <w:rFonts w:hint="eastAsia" w:ascii="宋体" w:hAnsi="宋体"/>
          <w:color w:val="auto"/>
          <w:szCs w:val="21"/>
          <w:highlight w:val="none"/>
        </w:rPr>
        <w:t>本项目按下浮率报价，结算时结算价不能超过预算。）</w:t>
      </w:r>
    </w:p>
    <w:p>
      <w:pPr>
        <w:ind w:firstLine="420" w:firstLineChars="200"/>
        <w:rPr>
          <w:rFonts w:ascii="宋体" w:hAnsi="宋体"/>
          <w:color w:val="auto"/>
          <w:szCs w:val="21"/>
          <w:highlight w:val="none"/>
        </w:rPr>
      </w:pPr>
      <w:r>
        <w:rPr>
          <w:rFonts w:hint="eastAsia" w:ascii="宋体" w:hAnsi="宋体"/>
          <w:color w:val="auto"/>
          <w:szCs w:val="21"/>
          <w:highlight w:val="none"/>
        </w:rPr>
        <w:t>采购需求</w:t>
      </w:r>
      <w:bookmarkEnd w:id="5"/>
      <w:r>
        <w:rPr>
          <w:rFonts w:hint="eastAsia" w:ascii="宋体" w:hAnsi="宋体"/>
          <w:color w:val="auto"/>
          <w:szCs w:val="21"/>
          <w:highlight w:val="none"/>
        </w:rPr>
        <w:t>：</w:t>
      </w:r>
    </w:p>
    <w:p>
      <w:pPr>
        <w:ind w:firstLine="420" w:firstLineChars="200"/>
        <w:rPr>
          <w:rFonts w:hint="eastAsia" w:ascii="宋体" w:hAnsi="宋体" w:eastAsia="宋体"/>
          <w:color w:val="auto"/>
          <w:szCs w:val="21"/>
          <w:highlight w:val="none"/>
          <w:lang w:eastAsia="zh-CN"/>
        </w:rPr>
      </w:pPr>
      <w:r>
        <w:rPr>
          <w:rFonts w:hint="eastAsia" w:ascii="宋体" w:hAnsi="宋体"/>
          <w:color w:val="auto"/>
          <w:highlight w:val="none"/>
        </w:rPr>
        <w:t>1</w:t>
      </w:r>
      <w:r>
        <w:rPr>
          <w:rFonts w:ascii="宋体" w:hAnsi="宋体"/>
          <w:color w:val="auto"/>
          <w:highlight w:val="none"/>
        </w:rPr>
        <w:t>.</w:t>
      </w:r>
      <w:r>
        <w:rPr>
          <w:rFonts w:hint="eastAsia" w:ascii="宋体" w:hAnsi="宋体"/>
          <w:color w:val="auto"/>
          <w:highlight w:val="none"/>
        </w:rPr>
        <w:t>标的名称：</w:t>
      </w:r>
      <w:r>
        <w:rPr>
          <w:rFonts w:hint="eastAsia" w:ascii="宋体" w:hAnsi="宋体"/>
          <w:color w:val="auto"/>
          <w:szCs w:val="21"/>
          <w:highlight w:val="none"/>
          <w:lang w:eastAsia="zh-CN"/>
        </w:rPr>
        <w:t>信宜市中医院食堂副食品及其配送服务项目</w:t>
      </w:r>
    </w:p>
    <w:p>
      <w:pPr>
        <w:pStyle w:val="45"/>
        <w:spacing w:after="0" w:line="360" w:lineRule="auto"/>
        <w:ind w:left="0" w:leftChars="0"/>
        <w:rPr>
          <w:rFonts w:ascii="宋体" w:hAnsi="宋体"/>
          <w:color w:val="auto"/>
          <w:highlight w:val="none"/>
        </w:rPr>
      </w:pPr>
      <w:r>
        <w:rPr>
          <w:rFonts w:hint="eastAsia" w:ascii="宋体" w:hAnsi="宋体"/>
          <w:color w:val="auto"/>
          <w:highlight w:val="none"/>
        </w:rPr>
        <w:t>2</w:t>
      </w:r>
      <w:r>
        <w:rPr>
          <w:rFonts w:ascii="宋体" w:hAnsi="宋体"/>
          <w:color w:val="auto"/>
          <w:highlight w:val="none"/>
        </w:rPr>
        <w:t>.</w:t>
      </w:r>
      <w:r>
        <w:rPr>
          <w:rFonts w:hint="eastAsia" w:ascii="宋体" w:hAnsi="宋体"/>
          <w:color w:val="auto"/>
          <w:highlight w:val="none"/>
        </w:rPr>
        <w:t>标的数量：1项</w:t>
      </w:r>
    </w:p>
    <w:p>
      <w:pPr>
        <w:pStyle w:val="45"/>
        <w:spacing w:after="0" w:line="360" w:lineRule="auto"/>
        <w:ind w:left="0" w:leftChars="0"/>
        <w:rPr>
          <w:rFonts w:ascii="宋体" w:hAnsi="宋体"/>
          <w:color w:val="auto"/>
          <w:highlight w:val="none"/>
        </w:rPr>
      </w:pPr>
      <w:r>
        <w:rPr>
          <w:rFonts w:hint="eastAsia" w:ascii="宋体" w:hAnsi="宋体"/>
          <w:color w:val="auto"/>
          <w:highlight w:val="none"/>
        </w:rPr>
        <w:t>3</w:t>
      </w:r>
      <w:r>
        <w:rPr>
          <w:rFonts w:ascii="宋体" w:hAnsi="宋体"/>
          <w:color w:val="auto"/>
          <w:highlight w:val="none"/>
        </w:rPr>
        <w:t>.</w:t>
      </w:r>
      <w:r>
        <w:rPr>
          <w:rFonts w:hint="eastAsia" w:ascii="宋体" w:hAnsi="宋体"/>
          <w:color w:val="auto"/>
          <w:highlight w:val="none"/>
        </w:rPr>
        <w:t>简要技术需求或服务要求：详细要求见采购需求。</w:t>
      </w:r>
    </w:p>
    <w:bookmarkEnd w:id="6"/>
    <w:p>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合同履行期限：自合同签订之日起一年</w:t>
      </w:r>
      <w:r>
        <w:rPr>
          <w:rFonts w:ascii="宋体" w:hAnsi="宋体"/>
          <w:color w:val="auto"/>
          <w:szCs w:val="21"/>
          <w:highlight w:val="none"/>
        </w:rPr>
        <w:t>。</w:t>
      </w:r>
    </w:p>
    <w:p>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本合同包不接受联合体响应。</w:t>
      </w:r>
    </w:p>
    <w:p>
      <w:pPr>
        <w:pStyle w:val="4"/>
        <w:numPr>
          <w:ilvl w:val="0"/>
          <w:numId w:val="5"/>
        </w:numPr>
        <w:rPr>
          <w:color w:val="auto"/>
          <w:highlight w:val="none"/>
        </w:rPr>
      </w:pPr>
      <w:bookmarkStart w:id="7" w:name="_Toc104040678"/>
      <w:r>
        <w:rPr>
          <w:color w:val="auto"/>
          <w:highlight w:val="none"/>
        </w:rPr>
        <w:t>申请人的资格要求</w:t>
      </w:r>
      <w:bookmarkEnd w:id="7"/>
    </w:p>
    <w:p>
      <w:pPr>
        <w:rPr>
          <w:rFonts w:ascii="宋体" w:hAnsi="宋体"/>
          <w:b/>
          <w:bCs/>
          <w:color w:val="auto"/>
          <w:szCs w:val="21"/>
          <w:highlight w:val="none"/>
        </w:rPr>
      </w:pPr>
      <w:r>
        <w:rPr>
          <w:rFonts w:hint="eastAsia" w:ascii="宋体" w:hAnsi="宋体"/>
          <w:b/>
          <w:bCs/>
          <w:color w:val="auto"/>
          <w:szCs w:val="21"/>
          <w:highlight w:val="none"/>
        </w:rPr>
        <w:t>1.</w:t>
      </w:r>
      <w:r>
        <w:rPr>
          <w:rFonts w:ascii="宋体" w:hAnsi="宋体"/>
          <w:b/>
          <w:bCs/>
          <w:color w:val="auto"/>
          <w:szCs w:val="21"/>
          <w:highlight w:val="none"/>
        </w:rPr>
        <w:t>投标供应商应具备《政府采购法》第二十二条规定的条件，提供下列材料</w:t>
      </w:r>
      <w:r>
        <w:rPr>
          <w:rFonts w:hint="eastAsia" w:ascii="宋体" w:hAnsi="宋体"/>
          <w:b/>
          <w:bCs/>
          <w:color w:val="auto"/>
          <w:szCs w:val="21"/>
          <w:highlight w:val="none"/>
        </w:rPr>
        <w:t>：</w:t>
      </w:r>
    </w:p>
    <w:p>
      <w:pPr>
        <w:widowControl w:val="0"/>
        <w:numPr>
          <w:ilvl w:val="0"/>
          <w:numId w:val="6"/>
        </w:numPr>
        <w:ind w:left="0" w:firstLine="420" w:firstLineChars="200"/>
        <w:rPr>
          <w:rFonts w:ascii="宋体" w:hAnsi="宋体"/>
          <w:color w:val="auto"/>
          <w:szCs w:val="21"/>
          <w:highlight w:val="none"/>
        </w:rPr>
      </w:pPr>
      <w:r>
        <w:rPr>
          <w:rFonts w:hint="eastAsia" w:ascii="宋体" w:hAnsi="宋体"/>
          <w:color w:val="auto"/>
          <w:szCs w:val="21"/>
          <w:highlight w:val="none"/>
        </w:rPr>
        <w:t>具有独立承担民事责任的能力：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widowControl w:val="0"/>
        <w:numPr>
          <w:ilvl w:val="0"/>
          <w:numId w:val="6"/>
        </w:numPr>
        <w:ind w:left="0" w:firstLine="420" w:firstLineChars="200"/>
        <w:rPr>
          <w:rFonts w:ascii="宋体" w:hAnsi="宋体"/>
          <w:color w:val="auto"/>
          <w:szCs w:val="21"/>
          <w:highlight w:val="none"/>
        </w:rPr>
      </w:pPr>
      <w:r>
        <w:rPr>
          <w:rFonts w:hint="eastAsia" w:ascii="宋体" w:hAnsi="宋体"/>
          <w:color w:val="auto"/>
          <w:szCs w:val="21"/>
          <w:highlight w:val="none"/>
        </w:rPr>
        <w:t>有依法缴纳税收和社会保障资金的良好记录：提供《茂名市政府采购供应商资格信用承诺函》。（格式详见公告附件）</w:t>
      </w:r>
    </w:p>
    <w:p>
      <w:pPr>
        <w:widowControl w:val="0"/>
        <w:numPr>
          <w:ilvl w:val="0"/>
          <w:numId w:val="6"/>
        </w:numPr>
        <w:ind w:left="0" w:firstLine="420" w:firstLineChars="200"/>
        <w:rPr>
          <w:rFonts w:ascii="宋体" w:hAnsi="宋体"/>
          <w:color w:val="auto"/>
          <w:szCs w:val="21"/>
          <w:highlight w:val="none"/>
        </w:rPr>
      </w:pPr>
      <w:r>
        <w:rPr>
          <w:rFonts w:hint="eastAsia" w:ascii="宋体" w:hAnsi="宋体"/>
          <w:color w:val="auto"/>
          <w:szCs w:val="21"/>
          <w:highlight w:val="none"/>
        </w:rPr>
        <w:t>具有良好的商业信誉和健全的财务会计制度：提供《茂名市政府采购供应商资格信用承诺函》。（格式详见公告附件）</w:t>
      </w:r>
    </w:p>
    <w:p>
      <w:pPr>
        <w:widowControl w:val="0"/>
        <w:numPr>
          <w:ilvl w:val="0"/>
          <w:numId w:val="6"/>
        </w:numPr>
        <w:ind w:left="0" w:firstLine="420" w:firstLineChars="200"/>
        <w:rPr>
          <w:rFonts w:ascii="宋体" w:hAnsi="宋体"/>
          <w:color w:val="auto"/>
          <w:szCs w:val="21"/>
          <w:highlight w:val="none"/>
        </w:rPr>
      </w:pPr>
      <w:r>
        <w:rPr>
          <w:rFonts w:hint="eastAsia" w:ascii="宋体" w:hAnsi="宋体"/>
          <w:color w:val="auto"/>
          <w:szCs w:val="21"/>
          <w:highlight w:val="none"/>
        </w:rPr>
        <w:t>履行合同所必需的设备和专业技术能力：提供《茂名市政府采购供应商资格信用承诺函》。（格式详见公告附件）</w:t>
      </w:r>
    </w:p>
    <w:p>
      <w:pPr>
        <w:widowControl w:val="0"/>
        <w:numPr>
          <w:ilvl w:val="0"/>
          <w:numId w:val="6"/>
        </w:numPr>
        <w:ind w:left="0" w:firstLine="420" w:firstLineChars="200"/>
        <w:rPr>
          <w:rFonts w:hint="eastAsia" w:ascii="宋体" w:hAnsi="宋体"/>
          <w:color w:val="auto"/>
          <w:szCs w:val="21"/>
          <w:highlight w:val="none"/>
        </w:rPr>
      </w:pPr>
      <w:r>
        <w:rPr>
          <w:rFonts w:hint="eastAsia" w:ascii="宋体" w:hAnsi="宋体"/>
          <w:color w:val="auto"/>
          <w:szCs w:val="21"/>
          <w:highlight w:val="none"/>
        </w:rPr>
        <w:t>参加采购活动前3年内，在经营活动中没有重大违法记录：提供《茂名市政府采购供应商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numPr>
          <w:ilvl w:val="0"/>
          <w:numId w:val="7"/>
        </w:numPr>
        <w:rPr>
          <w:rFonts w:hint="eastAsia" w:ascii="宋体" w:hAnsi="宋体"/>
          <w:b/>
          <w:bCs/>
          <w:color w:val="auto"/>
          <w:szCs w:val="21"/>
          <w:highlight w:val="none"/>
        </w:rPr>
      </w:pPr>
      <w:r>
        <w:rPr>
          <w:rFonts w:hint="eastAsia" w:ascii="宋体" w:hAnsi="宋体"/>
          <w:b/>
          <w:bCs/>
          <w:color w:val="auto"/>
          <w:szCs w:val="21"/>
          <w:highlight w:val="none"/>
        </w:rPr>
        <w:t>落实政府采购政策需满足的资格要求：</w:t>
      </w:r>
    </w:p>
    <w:p>
      <w:pPr>
        <w:numPr>
          <w:ilvl w:val="0"/>
          <w:numId w:val="0"/>
        </w:numPr>
        <w:ind w:firstLine="422" w:firstLineChars="200"/>
        <w:rPr>
          <w:rFonts w:hint="default" w:ascii="宋体" w:hAnsi="宋体" w:eastAsia="宋体" w:cs="Futura-Heavy"/>
          <w:bCs/>
          <w:color w:val="auto"/>
          <w:szCs w:val="21"/>
          <w:highlight w:val="none"/>
          <w:shd w:val="clear" w:color="auto" w:fill="FFFFFF"/>
          <w:lang w:val="en-US" w:eastAsia="zh-CN"/>
        </w:rPr>
      </w:pPr>
      <w:r>
        <w:rPr>
          <w:rFonts w:hint="eastAsia" w:ascii="宋体" w:hAnsi="宋体" w:cs="Futura-Heavy"/>
          <w:b/>
          <w:bCs w:val="0"/>
          <w:color w:val="auto"/>
          <w:szCs w:val="21"/>
          <w:highlight w:val="none"/>
          <w:shd w:val="clear" w:color="auto" w:fill="FFFFFF"/>
        </w:rPr>
        <w:t>本项目</w:t>
      </w:r>
      <w:r>
        <w:rPr>
          <w:rFonts w:hint="eastAsia" w:ascii="宋体" w:hAnsi="宋体" w:cs="Futura-Heavy"/>
          <w:b/>
          <w:bCs w:val="0"/>
          <w:color w:val="auto"/>
          <w:szCs w:val="21"/>
          <w:highlight w:val="none"/>
          <w:shd w:val="clear" w:color="auto" w:fill="FFFFFF"/>
          <w:lang w:val="en-US" w:eastAsia="zh-CN"/>
        </w:rPr>
        <w:t>属于</w:t>
      </w:r>
      <w:r>
        <w:rPr>
          <w:rFonts w:hint="eastAsia" w:ascii="宋体" w:hAnsi="宋体" w:cs="Futura-Heavy"/>
          <w:b/>
          <w:bCs w:val="0"/>
          <w:color w:val="auto"/>
          <w:szCs w:val="21"/>
          <w:highlight w:val="none"/>
          <w:shd w:val="clear" w:color="auto" w:fill="FFFFFF"/>
        </w:rPr>
        <w:t>专门面向中小企业</w:t>
      </w:r>
      <w:r>
        <w:rPr>
          <w:rFonts w:hint="eastAsia" w:ascii="宋体" w:hAnsi="宋体" w:cs="Futura-Heavy"/>
          <w:b/>
          <w:bCs w:val="0"/>
          <w:color w:val="auto"/>
          <w:szCs w:val="21"/>
          <w:highlight w:val="none"/>
          <w:shd w:val="clear" w:color="auto" w:fill="FFFFFF"/>
          <w:lang w:val="en-US" w:eastAsia="zh-CN"/>
        </w:rPr>
        <w:t>采购的项目</w:t>
      </w:r>
    </w:p>
    <w:p>
      <w:pPr>
        <w:shd w:val="clear" w:color="auto" w:fill="FFFFFF"/>
        <w:jc w:val="left"/>
        <w:rPr>
          <w:rFonts w:ascii="宋体" w:hAnsi="宋体" w:cs="Futura-Heavy"/>
          <w:b/>
          <w:bCs/>
          <w:color w:val="auto"/>
          <w:szCs w:val="21"/>
          <w:highlight w:val="none"/>
          <w:shd w:val="clear" w:color="auto" w:fill="FFFFFF"/>
        </w:rPr>
      </w:pPr>
      <w:r>
        <w:rPr>
          <w:rFonts w:hint="eastAsia" w:ascii="宋体" w:hAnsi="宋体" w:cs="Futura-Heavy"/>
          <w:b/>
          <w:bCs/>
          <w:color w:val="auto"/>
          <w:szCs w:val="21"/>
          <w:highlight w:val="none"/>
          <w:shd w:val="clear" w:color="auto" w:fill="FFFFFF"/>
        </w:rPr>
        <w:t>3.本项目的特定资格要求：</w:t>
      </w:r>
    </w:p>
    <w:p>
      <w:pPr>
        <w:numPr>
          <w:ilvl w:val="0"/>
          <w:numId w:val="8"/>
        </w:numPr>
        <w:shd w:val="clear" w:color="auto" w:fill="FFFFFF"/>
        <w:ind w:left="84" w:firstLine="336"/>
        <w:jc w:val="left"/>
        <w:rPr>
          <w:rFonts w:ascii="宋体" w:hAnsi="宋体"/>
          <w:color w:val="auto"/>
          <w:szCs w:val="21"/>
          <w:highlight w:val="none"/>
        </w:rPr>
      </w:pPr>
      <w:r>
        <w:rPr>
          <w:rFonts w:hint="eastAsia" w:ascii="宋体" w:hAnsi="宋体"/>
          <w:color w:val="auto"/>
          <w:szCs w:val="21"/>
          <w:highlight w:val="none"/>
        </w:rPr>
        <w:t>单位负责人为同一人或者存在直接控股、管理关系的不同供应商，不得同时参加本采购项目（包组）投标（响应）。为本项目提供整体设计、规范编制或者项目管理、监理等服务的供应商，不得再参与本项目投标（响应）。提供《</w:t>
      </w:r>
      <w:r>
        <w:rPr>
          <w:rFonts w:hint="eastAsia"/>
          <w:color w:val="auto"/>
          <w:szCs w:val="21"/>
          <w:highlight w:val="none"/>
        </w:rPr>
        <w:t>关于资格的声明函</w:t>
      </w:r>
      <w:r>
        <w:rPr>
          <w:rFonts w:hint="eastAsia" w:ascii="宋体" w:hAnsi="宋体"/>
          <w:color w:val="auto"/>
          <w:szCs w:val="21"/>
          <w:highlight w:val="none"/>
        </w:rPr>
        <w:t>》。</w:t>
      </w:r>
    </w:p>
    <w:p>
      <w:pPr>
        <w:numPr>
          <w:ilvl w:val="0"/>
          <w:numId w:val="8"/>
        </w:numPr>
        <w:shd w:val="clear" w:color="auto" w:fill="FFFFFF"/>
        <w:ind w:left="84" w:firstLine="336"/>
        <w:jc w:val="left"/>
        <w:rPr>
          <w:rFonts w:ascii="宋体" w:hAnsi="宋体"/>
          <w:color w:val="auto"/>
          <w:szCs w:val="21"/>
          <w:highlight w:val="none"/>
        </w:rPr>
      </w:pPr>
      <w:r>
        <w:rPr>
          <w:rFonts w:ascii="宋体" w:hAnsi="宋体"/>
          <w:color w:val="auto"/>
          <w:szCs w:val="21"/>
          <w:highlight w:val="none"/>
        </w:rPr>
        <w:t>供应商未被列入“信用中国”网站</w:t>
      </w:r>
      <w:r>
        <w:rPr>
          <w:rFonts w:hint="eastAsia" w:ascii="宋体" w:hAnsi="宋体"/>
          <w:color w:val="auto"/>
          <w:szCs w:val="21"/>
          <w:highlight w:val="none"/>
        </w:rPr>
        <w:t>（</w:t>
      </w:r>
      <w:r>
        <w:rPr>
          <w:rFonts w:ascii="宋体" w:hAnsi="宋体"/>
          <w:color w:val="auto"/>
          <w:szCs w:val="21"/>
          <w:highlight w:val="none"/>
        </w:rPr>
        <w:t>www.creditchina.gov.cn</w:t>
      </w:r>
      <w:r>
        <w:rPr>
          <w:rFonts w:hint="eastAsia" w:ascii="宋体" w:hAnsi="宋体"/>
          <w:color w:val="auto"/>
          <w:szCs w:val="21"/>
          <w:highlight w:val="none"/>
        </w:rPr>
        <w:t>）</w:t>
      </w:r>
      <w:r>
        <w:rPr>
          <w:rFonts w:ascii="宋体" w:hAnsi="宋体"/>
          <w:color w:val="auto"/>
          <w:szCs w:val="21"/>
          <w:highlight w:val="none"/>
        </w:rPr>
        <w:t>以下任意名单之一：①失信被执行人名单；②重大税收违法案件当事人名单</w:t>
      </w:r>
      <w:r>
        <w:rPr>
          <w:rFonts w:hint="eastAsia" w:ascii="宋体" w:hAnsi="宋体"/>
          <w:color w:val="auto"/>
          <w:kern w:val="0"/>
          <w:szCs w:val="21"/>
          <w:highlight w:val="none"/>
        </w:rPr>
        <w:t>（即“重大税收违法失信主体”）</w:t>
      </w:r>
      <w:r>
        <w:rPr>
          <w:rFonts w:ascii="宋体" w:hAnsi="宋体"/>
          <w:color w:val="auto"/>
          <w:szCs w:val="21"/>
          <w:highlight w:val="none"/>
        </w:rPr>
        <w:t>；③政府采购严重违法失信名单。</w:t>
      </w:r>
      <w:r>
        <w:rPr>
          <w:rFonts w:hint="eastAsia" w:ascii="宋体" w:hAnsi="宋体"/>
          <w:color w:val="auto"/>
          <w:szCs w:val="21"/>
          <w:highlight w:val="none"/>
        </w:rPr>
        <w:t>同时，不处于中国政府采购网（</w:t>
      </w:r>
      <w:r>
        <w:rPr>
          <w:rFonts w:ascii="宋体" w:hAnsi="宋体"/>
          <w:color w:val="auto"/>
          <w:szCs w:val="21"/>
          <w:highlight w:val="none"/>
        </w:rPr>
        <w:t>www.ccgp.gov.cn）“政府采购严重违法失信行为信息记录”中的禁止参加政府采购活动期间。（</w:t>
      </w:r>
      <w:r>
        <w:rPr>
          <w:rFonts w:hint="eastAsia" w:ascii="宋体" w:hAnsi="宋体"/>
          <w:color w:val="auto"/>
          <w:szCs w:val="21"/>
          <w:highlight w:val="none"/>
        </w:rPr>
        <w:t>以采购代理机构于响应文件提交截止时间当天在上述网站查询结果为准，如在上述网站查询结果均显示没有相关记录，视为没有上述不良信用记录；如相关失信记录已失效，供应商须提供相关证明资料。</w:t>
      </w:r>
      <w:r>
        <w:rPr>
          <w:rFonts w:ascii="宋体" w:hAnsi="宋体"/>
          <w:color w:val="auto"/>
          <w:szCs w:val="21"/>
          <w:highlight w:val="none"/>
        </w:rPr>
        <w:t>）</w:t>
      </w:r>
    </w:p>
    <w:p>
      <w:pPr>
        <w:numPr>
          <w:ilvl w:val="0"/>
          <w:numId w:val="8"/>
        </w:numPr>
        <w:shd w:val="clear" w:color="auto" w:fill="FFFFFF"/>
        <w:ind w:left="84" w:firstLine="336"/>
        <w:jc w:val="left"/>
        <w:rPr>
          <w:rFonts w:ascii="宋体" w:hAnsi="宋体"/>
          <w:b/>
          <w:bCs/>
          <w:color w:val="auto"/>
          <w:szCs w:val="21"/>
          <w:highlight w:val="none"/>
        </w:rPr>
      </w:pPr>
      <w:r>
        <w:rPr>
          <w:rFonts w:hint="eastAsia" w:ascii="宋体" w:hAnsi="宋体"/>
          <w:b/>
          <w:bCs/>
          <w:color w:val="auto"/>
          <w:szCs w:val="21"/>
          <w:highlight w:val="none"/>
        </w:rPr>
        <w:t>具备行政部门颁发有效期内的《食品生产许可证》或《食品经营许可证》；新注册的企业，可提供食品经营备案信息采集表或者官网备案截图（提供相关复印件加盖投标人公章）；</w:t>
      </w:r>
    </w:p>
    <w:p>
      <w:pPr>
        <w:numPr>
          <w:ilvl w:val="0"/>
          <w:numId w:val="8"/>
        </w:numPr>
        <w:shd w:val="clear" w:color="auto" w:fill="FFFFFF"/>
        <w:ind w:left="84" w:firstLine="336"/>
        <w:jc w:val="left"/>
        <w:rPr>
          <w:color w:val="auto"/>
          <w:highlight w:val="none"/>
        </w:rPr>
      </w:pPr>
      <w:r>
        <w:rPr>
          <w:rFonts w:hint="eastAsia" w:ascii="宋体" w:hAnsi="宋体"/>
          <w:color w:val="auto"/>
          <w:szCs w:val="21"/>
          <w:highlight w:val="none"/>
          <w:lang w:val="en-US" w:eastAsia="zh-CN"/>
        </w:rPr>
        <w:t>本项目不接受联合体投标，不允许转包（提供承诺函，并加盖公章）</w:t>
      </w:r>
      <w:r>
        <w:rPr>
          <w:rFonts w:hint="eastAsia" w:ascii="宋体" w:hAnsi="宋体"/>
          <w:color w:val="auto"/>
          <w:szCs w:val="21"/>
          <w:highlight w:val="none"/>
        </w:rPr>
        <w:t>。</w:t>
      </w:r>
    </w:p>
    <w:p>
      <w:pPr>
        <w:pStyle w:val="4"/>
        <w:numPr>
          <w:ilvl w:val="0"/>
          <w:numId w:val="5"/>
        </w:numPr>
        <w:rPr>
          <w:color w:val="auto"/>
          <w:highlight w:val="none"/>
        </w:rPr>
      </w:pPr>
      <w:bookmarkStart w:id="8" w:name="_Toc104040679"/>
      <w:r>
        <w:rPr>
          <w:color w:val="auto"/>
          <w:highlight w:val="none"/>
        </w:rPr>
        <w:t>获取采购文件</w:t>
      </w:r>
      <w:bookmarkEnd w:id="8"/>
    </w:p>
    <w:p>
      <w:pPr>
        <w:ind w:firstLine="420" w:firstLineChars="200"/>
        <w:rPr>
          <w:rFonts w:ascii="宋体" w:hAnsi="宋体"/>
          <w:color w:val="auto"/>
          <w:szCs w:val="21"/>
          <w:highlight w:val="none"/>
        </w:rPr>
      </w:pPr>
      <w:r>
        <w:rPr>
          <w:rFonts w:hint="eastAsia" w:ascii="宋体" w:hAnsi="宋体"/>
          <w:color w:val="auto"/>
          <w:szCs w:val="21"/>
          <w:highlight w:val="none"/>
        </w:rPr>
        <w:t>符合资格的供应商应当在</w:t>
      </w:r>
      <w:r>
        <w:rPr>
          <w:rFonts w:hint="eastAsia" w:ascii="宋体" w:hAnsi="宋体"/>
          <w:color w:val="auto"/>
          <w:szCs w:val="21"/>
          <w:highlight w:val="none"/>
          <w:lang w:val="en-US" w:eastAsia="zh-CN"/>
        </w:rPr>
        <w:t>2024</w:t>
      </w:r>
      <w:r>
        <w:rPr>
          <w:rFonts w:hint="eastAsia" w:ascii="宋体" w:hAnsi="宋体"/>
          <w:color w:val="auto"/>
          <w:szCs w:val="21"/>
          <w:highlight w:val="none"/>
        </w:rPr>
        <w:t>年</w:t>
      </w:r>
      <w:r>
        <w:rPr>
          <w:rFonts w:hint="eastAsia" w:ascii="宋体" w:hAnsi="宋体"/>
          <w:color w:val="auto"/>
          <w:szCs w:val="21"/>
          <w:highlight w:val="none"/>
          <w:lang w:val="en-US" w:eastAsia="zh-CN"/>
        </w:rPr>
        <w:t>05</w:t>
      </w:r>
      <w:r>
        <w:rPr>
          <w:rFonts w:hint="eastAsia" w:ascii="宋体" w:hAnsi="宋体"/>
          <w:color w:val="auto"/>
          <w:szCs w:val="21"/>
          <w:highlight w:val="none"/>
        </w:rPr>
        <w:t>月</w:t>
      </w:r>
      <w:r>
        <w:rPr>
          <w:rFonts w:hint="eastAsia" w:ascii="宋体" w:hAnsi="宋体"/>
          <w:color w:val="auto"/>
          <w:szCs w:val="21"/>
          <w:highlight w:val="none"/>
          <w:lang w:val="en-US" w:eastAsia="zh-CN"/>
        </w:rPr>
        <w:t>22</w:t>
      </w:r>
      <w:r>
        <w:rPr>
          <w:rFonts w:hint="eastAsia" w:ascii="宋体" w:hAnsi="宋体"/>
          <w:color w:val="auto"/>
          <w:szCs w:val="21"/>
          <w:highlight w:val="none"/>
        </w:rPr>
        <w:t>日起至</w:t>
      </w:r>
      <w:r>
        <w:rPr>
          <w:rFonts w:hint="eastAsia" w:ascii="宋体" w:hAnsi="宋体"/>
          <w:color w:val="auto"/>
          <w:szCs w:val="21"/>
          <w:highlight w:val="none"/>
          <w:lang w:val="en-US" w:eastAsia="zh-CN"/>
        </w:rPr>
        <w:t>2024</w:t>
      </w:r>
      <w:r>
        <w:rPr>
          <w:rFonts w:hint="eastAsia" w:ascii="宋体" w:hAnsi="宋体"/>
          <w:color w:val="auto"/>
          <w:szCs w:val="21"/>
          <w:highlight w:val="none"/>
        </w:rPr>
        <w:t>年</w:t>
      </w:r>
      <w:r>
        <w:rPr>
          <w:rFonts w:hint="eastAsia" w:ascii="宋体" w:hAnsi="宋体"/>
          <w:color w:val="auto"/>
          <w:szCs w:val="21"/>
          <w:highlight w:val="none"/>
          <w:lang w:val="en-US" w:eastAsia="zh-CN"/>
        </w:rPr>
        <w:t>05</w:t>
      </w:r>
      <w:r>
        <w:rPr>
          <w:rFonts w:hint="eastAsia" w:ascii="宋体" w:hAnsi="宋体"/>
          <w:color w:val="auto"/>
          <w:szCs w:val="21"/>
          <w:highlight w:val="none"/>
        </w:rPr>
        <w:t>月</w:t>
      </w:r>
      <w:r>
        <w:rPr>
          <w:rFonts w:hint="eastAsia" w:ascii="宋体" w:hAnsi="宋体"/>
          <w:color w:val="auto"/>
          <w:szCs w:val="21"/>
          <w:highlight w:val="none"/>
          <w:lang w:val="en-US" w:eastAsia="zh-CN"/>
        </w:rPr>
        <w:t>29</w:t>
      </w:r>
      <w:r>
        <w:rPr>
          <w:rFonts w:hint="eastAsia" w:ascii="宋体" w:hAnsi="宋体"/>
          <w:color w:val="auto"/>
          <w:szCs w:val="21"/>
          <w:highlight w:val="none"/>
        </w:rPr>
        <w:t>日期间（办公时间内：上午9:00至12:00，下午14:30至17:30，法定节假日除外）到广东达禾工程管理有限公司购买磋商文件，每套售价</w:t>
      </w:r>
      <w:r>
        <w:rPr>
          <w:rFonts w:ascii="宋体" w:hAnsi="宋体"/>
          <w:color w:val="auto"/>
          <w:szCs w:val="21"/>
          <w:highlight w:val="none"/>
        </w:rPr>
        <w:t>3</w:t>
      </w:r>
      <w:r>
        <w:rPr>
          <w:rFonts w:hint="eastAsia" w:ascii="宋体" w:hAnsi="宋体"/>
          <w:color w:val="auto"/>
          <w:szCs w:val="21"/>
          <w:highlight w:val="none"/>
        </w:rPr>
        <w:t>00元（人民币），售后不退，报名时需提供以下资料：</w:t>
      </w:r>
    </w:p>
    <w:p>
      <w:pPr>
        <w:ind w:firstLine="420" w:firstLineChars="200"/>
        <w:rPr>
          <w:rFonts w:hint="eastAsia" w:ascii="宋体" w:hAnsi="宋体" w:eastAsia="宋体" w:cs="宋体"/>
          <w:color w:val="auto"/>
          <w:szCs w:val="21"/>
          <w:lang w:val="en-US" w:eastAsia="zh-CN"/>
        </w:rPr>
      </w:pPr>
      <w:bookmarkStart w:id="9" w:name="_Toc104040680"/>
      <w:bookmarkStart w:id="10" w:name="_Hlk114001339"/>
      <w:r>
        <w:rPr>
          <w:rFonts w:hint="eastAsia" w:ascii="宋体" w:hAnsi="宋体" w:eastAsia="宋体" w:cs="宋体"/>
          <w:color w:val="auto"/>
          <w:szCs w:val="21"/>
        </w:rPr>
        <w:t>报名流程：现场报名或投标人填好报名表（见附件）加盖公章，扫描回复邮箱gddhzb@163.com（备注项目名称），标书款转账至广东达禾工程管理有限公司（开户银行：中国银行茂名迎宾路支行；帐号：695176288009），备注（项目名称）报名费及报名表。</w:t>
      </w:r>
      <w:r>
        <w:rPr>
          <w:rFonts w:hint="eastAsia" w:ascii="宋体" w:hAnsi="宋体" w:eastAsia="宋体" w:cs="宋体"/>
          <w:color w:val="auto"/>
          <w:szCs w:val="21"/>
          <w:lang w:val="en-US" w:eastAsia="zh-CN"/>
        </w:rPr>
        <w:t>报名时需提供营业执照副本、税务登记证、组织机构代码证（或者三证合一的营业执照或事业单位法人证书）复印件加盖公章。</w:t>
      </w:r>
    </w:p>
    <w:p>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注：采购代理机构对响应供应商提交的证件资料的核对，不代表其资格的确认。响应供应商的资格最终以评标委员会根据其响应文件中的相关资料作出的评审结论为准。</w:t>
      </w:r>
    </w:p>
    <w:p>
      <w:pPr>
        <w:pStyle w:val="4"/>
        <w:numPr>
          <w:ilvl w:val="0"/>
          <w:numId w:val="5"/>
        </w:numPr>
        <w:rPr>
          <w:color w:val="auto"/>
          <w:highlight w:val="none"/>
        </w:rPr>
      </w:pPr>
      <w:r>
        <w:rPr>
          <w:color w:val="auto"/>
          <w:highlight w:val="none"/>
        </w:rPr>
        <w:t>响应文件提交</w:t>
      </w:r>
      <w:bookmarkEnd w:id="9"/>
    </w:p>
    <w:bookmarkEnd w:id="10"/>
    <w:p>
      <w:pPr>
        <w:ind w:firstLine="480"/>
        <w:rPr>
          <w:rFonts w:ascii="宋体" w:hAnsi="宋体"/>
          <w:color w:val="auto"/>
          <w:kern w:val="28"/>
          <w:szCs w:val="21"/>
          <w:highlight w:val="none"/>
        </w:rPr>
      </w:pPr>
      <w:r>
        <w:rPr>
          <w:rFonts w:hint="eastAsia" w:ascii="宋体" w:hAnsi="宋体"/>
          <w:color w:val="auto"/>
          <w:kern w:val="28"/>
          <w:szCs w:val="21"/>
          <w:highlight w:val="none"/>
        </w:rPr>
        <w:t>截止时间：</w:t>
      </w:r>
      <w:r>
        <w:rPr>
          <w:rFonts w:hint="eastAsia" w:ascii="宋体" w:hAnsi="宋体" w:cs="Times New Roman"/>
          <w:color w:val="auto"/>
          <w:szCs w:val="21"/>
          <w:highlight w:val="none"/>
          <w:lang w:val="en-US" w:eastAsia="zh-CN"/>
        </w:rPr>
        <w:t>2024</w:t>
      </w:r>
      <w:r>
        <w:rPr>
          <w:rFonts w:hint="eastAsia" w:ascii="宋体" w:hAnsi="宋体" w:eastAsia="宋体" w:cs="Times New Roman"/>
          <w:color w:val="auto"/>
          <w:szCs w:val="21"/>
          <w:highlight w:val="none"/>
          <w:lang w:val="en-US" w:eastAsia="zh-CN"/>
        </w:rPr>
        <w:t>年</w:t>
      </w:r>
      <w:r>
        <w:rPr>
          <w:rFonts w:hint="eastAsia" w:ascii="宋体" w:hAnsi="宋体" w:cs="Times New Roman"/>
          <w:color w:val="auto"/>
          <w:szCs w:val="21"/>
          <w:highlight w:val="none"/>
          <w:lang w:val="en-US" w:eastAsia="zh-CN"/>
        </w:rPr>
        <w:t>06</w:t>
      </w:r>
      <w:r>
        <w:rPr>
          <w:rFonts w:hint="eastAsia" w:ascii="宋体" w:hAnsi="宋体" w:eastAsia="宋体" w:cs="Times New Roman"/>
          <w:color w:val="auto"/>
          <w:szCs w:val="21"/>
          <w:highlight w:val="none"/>
          <w:lang w:val="en-US" w:eastAsia="zh-CN"/>
        </w:rPr>
        <w:t>月</w:t>
      </w:r>
      <w:r>
        <w:rPr>
          <w:rFonts w:hint="eastAsia" w:ascii="宋体" w:hAnsi="宋体" w:cs="Times New Roman"/>
          <w:color w:val="auto"/>
          <w:szCs w:val="21"/>
          <w:highlight w:val="none"/>
          <w:lang w:val="en-US" w:eastAsia="zh-CN"/>
        </w:rPr>
        <w:t>03</w:t>
      </w:r>
      <w:r>
        <w:rPr>
          <w:rFonts w:hint="eastAsia" w:ascii="宋体" w:hAnsi="宋体" w:eastAsia="宋体" w:cs="Times New Roman"/>
          <w:color w:val="auto"/>
          <w:szCs w:val="21"/>
          <w:highlight w:val="none"/>
          <w:lang w:val="en-US" w:eastAsia="zh-CN"/>
        </w:rPr>
        <w:t>日</w:t>
      </w:r>
      <w:r>
        <w:rPr>
          <w:rFonts w:hint="eastAsia" w:ascii="宋体" w:hAnsi="宋体" w:cs="Times New Roman"/>
          <w:color w:val="auto"/>
          <w:szCs w:val="21"/>
          <w:highlight w:val="none"/>
          <w:lang w:val="en-US" w:eastAsia="zh-CN"/>
        </w:rPr>
        <w:t>16</w:t>
      </w:r>
      <w:r>
        <w:rPr>
          <w:rFonts w:hint="eastAsia" w:ascii="宋体" w:hAnsi="宋体" w:eastAsia="宋体" w:cs="Times New Roman"/>
          <w:color w:val="auto"/>
          <w:szCs w:val="21"/>
          <w:highlight w:val="none"/>
          <w:lang w:val="en-US" w:eastAsia="zh-CN"/>
        </w:rPr>
        <w:t>时</w:t>
      </w:r>
      <w:r>
        <w:rPr>
          <w:rFonts w:hint="eastAsia" w:ascii="宋体" w:hAnsi="宋体" w:cs="Times New Roman"/>
          <w:color w:val="auto"/>
          <w:szCs w:val="21"/>
          <w:highlight w:val="none"/>
          <w:lang w:val="en-US" w:eastAsia="zh-CN"/>
        </w:rPr>
        <w:t>30</w:t>
      </w:r>
      <w:r>
        <w:rPr>
          <w:rFonts w:hint="eastAsia" w:ascii="宋体" w:hAnsi="宋体" w:eastAsia="宋体" w:cs="Times New Roman"/>
          <w:color w:val="auto"/>
          <w:szCs w:val="21"/>
          <w:highlight w:val="none"/>
          <w:lang w:val="en-US" w:eastAsia="zh-CN"/>
        </w:rPr>
        <w:t>分</w:t>
      </w:r>
      <w:r>
        <w:rPr>
          <w:rFonts w:hint="eastAsia" w:ascii="宋体" w:hAnsi="宋体" w:cs="Times New Roman"/>
          <w:color w:val="auto"/>
          <w:szCs w:val="21"/>
          <w:highlight w:val="none"/>
          <w:lang w:val="en-US" w:eastAsia="zh-CN"/>
        </w:rPr>
        <w:t>00</w:t>
      </w:r>
      <w:r>
        <w:rPr>
          <w:rFonts w:hint="eastAsia" w:ascii="宋体" w:hAnsi="宋体" w:eastAsia="宋体" w:cs="Times New Roman"/>
          <w:color w:val="auto"/>
          <w:szCs w:val="21"/>
          <w:highlight w:val="none"/>
          <w:lang w:val="en-US" w:eastAsia="zh-CN"/>
        </w:rPr>
        <w:t>秒（北京时间）(注：</w:t>
      </w:r>
      <w:r>
        <w:rPr>
          <w:rFonts w:hint="eastAsia" w:ascii="宋体" w:hAnsi="宋体" w:cs="Times New Roman"/>
          <w:color w:val="auto"/>
          <w:szCs w:val="21"/>
          <w:highlight w:val="none"/>
          <w:lang w:val="en-US" w:eastAsia="zh-CN"/>
        </w:rPr>
        <w:t>16</w:t>
      </w:r>
      <w:r>
        <w:rPr>
          <w:rFonts w:hint="eastAsia" w:ascii="宋体" w:hAnsi="宋体" w:eastAsia="宋体" w:cs="Times New Roman"/>
          <w:color w:val="auto"/>
          <w:szCs w:val="21"/>
          <w:highlight w:val="none"/>
          <w:lang w:val="en-US" w:eastAsia="zh-CN"/>
        </w:rPr>
        <w:t>时00分开始受理响应文件)</w:t>
      </w:r>
    </w:p>
    <w:p>
      <w:pPr>
        <w:ind w:firstLine="480"/>
        <w:rPr>
          <w:rFonts w:ascii="宋体" w:hAnsi="宋体"/>
          <w:color w:val="auto"/>
          <w:kern w:val="28"/>
          <w:szCs w:val="21"/>
          <w:highlight w:val="none"/>
        </w:rPr>
      </w:pPr>
      <w:r>
        <w:rPr>
          <w:rFonts w:hint="eastAsia" w:ascii="宋体" w:hAnsi="宋体"/>
          <w:color w:val="auto"/>
          <w:kern w:val="28"/>
          <w:szCs w:val="21"/>
          <w:highlight w:val="none"/>
        </w:rPr>
        <w:t>地点：</w:t>
      </w:r>
      <w:r>
        <w:rPr>
          <w:rFonts w:hint="eastAsia" w:ascii="宋体" w:hAnsi="宋体" w:eastAsia="宋体" w:cs="宋体"/>
          <w:color w:val="auto"/>
          <w:kern w:val="28"/>
          <w:szCs w:val="21"/>
        </w:rPr>
        <w:t>茂名市光华南路118号润威商厦602开标室</w:t>
      </w:r>
    </w:p>
    <w:p>
      <w:pPr>
        <w:pStyle w:val="4"/>
        <w:numPr>
          <w:ilvl w:val="0"/>
          <w:numId w:val="5"/>
        </w:numPr>
        <w:rPr>
          <w:color w:val="auto"/>
          <w:highlight w:val="none"/>
        </w:rPr>
      </w:pPr>
      <w:bookmarkStart w:id="11" w:name="_Toc104040681"/>
      <w:r>
        <w:rPr>
          <w:color w:val="auto"/>
          <w:highlight w:val="none"/>
        </w:rPr>
        <w:t>开启</w:t>
      </w:r>
      <w:bookmarkEnd w:id="11"/>
    </w:p>
    <w:p>
      <w:pPr>
        <w:ind w:firstLine="480"/>
        <w:rPr>
          <w:rFonts w:ascii="宋体" w:hAnsi="宋体"/>
          <w:color w:val="auto"/>
          <w:kern w:val="28"/>
          <w:szCs w:val="21"/>
          <w:highlight w:val="none"/>
        </w:rPr>
      </w:pPr>
      <w:r>
        <w:rPr>
          <w:rFonts w:hint="eastAsia" w:ascii="宋体" w:hAnsi="宋体"/>
          <w:color w:val="auto"/>
          <w:kern w:val="28"/>
          <w:szCs w:val="21"/>
          <w:highlight w:val="none"/>
        </w:rPr>
        <w:t>时间：</w:t>
      </w:r>
      <w:r>
        <w:rPr>
          <w:rFonts w:hint="eastAsia" w:ascii="宋体" w:hAnsi="宋体" w:cs="Times New Roman"/>
          <w:color w:val="auto"/>
          <w:szCs w:val="21"/>
          <w:highlight w:val="none"/>
          <w:lang w:val="en-US" w:eastAsia="zh-CN"/>
        </w:rPr>
        <w:t>2024</w:t>
      </w:r>
      <w:r>
        <w:rPr>
          <w:rFonts w:hint="eastAsia" w:ascii="宋体" w:hAnsi="宋体" w:eastAsia="宋体" w:cs="Times New Roman"/>
          <w:color w:val="auto"/>
          <w:szCs w:val="21"/>
          <w:highlight w:val="none"/>
          <w:lang w:val="en-US" w:eastAsia="zh-CN"/>
        </w:rPr>
        <w:t>年</w:t>
      </w:r>
      <w:r>
        <w:rPr>
          <w:rFonts w:hint="eastAsia" w:ascii="宋体" w:hAnsi="宋体" w:cs="Times New Roman"/>
          <w:color w:val="auto"/>
          <w:szCs w:val="21"/>
          <w:highlight w:val="none"/>
          <w:lang w:val="en-US" w:eastAsia="zh-CN"/>
        </w:rPr>
        <w:t>06</w:t>
      </w:r>
      <w:r>
        <w:rPr>
          <w:rFonts w:hint="eastAsia" w:ascii="宋体" w:hAnsi="宋体" w:eastAsia="宋体" w:cs="Times New Roman"/>
          <w:color w:val="auto"/>
          <w:szCs w:val="21"/>
          <w:highlight w:val="none"/>
          <w:lang w:val="en-US" w:eastAsia="zh-CN"/>
        </w:rPr>
        <w:t>月</w:t>
      </w:r>
      <w:r>
        <w:rPr>
          <w:rFonts w:hint="eastAsia" w:ascii="宋体" w:hAnsi="宋体" w:cs="Times New Roman"/>
          <w:color w:val="auto"/>
          <w:szCs w:val="21"/>
          <w:highlight w:val="none"/>
          <w:lang w:val="en-US" w:eastAsia="zh-CN"/>
        </w:rPr>
        <w:t>03</w:t>
      </w:r>
      <w:r>
        <w:rPr>
          <w:rFonts w:hint="eastAsia" w:ascii="宋体" w:hAnsi="宋体" w:eastAsia="宋体" w:cs="Times New Roman"/>
          <w:color w:val="auto"/>
          <w:szCs w:val="21"/>
          <w:highlight w:val="none"/>
          <w:lang w:val="en-US" w:eastAsia="zh-CN"/>
        </w:rPr>
        <w:t>日</w:t>
      </w:r>
      <w:r>
        <w:rPr>
          <w:rFonts w:hint="eastAsia" w:ascii="宋体" w:hAnsi="宋体" w:cs="Times New Roman"/>
          <w:color w:val="auto"/>
          <w:szCs w:val="21"/>
          <w:highlight w:val="none"/>
          <w:lang w:val="en-US" w:eastAsia="zh-CN"/>
        </w:rPr>
        <w:t>16</w:t>
      </w:r>
      <w:r>
        <w:rPr>
          <w:rFonts w:hint="eastAsia" w:ascii="宋体" w:hAnsi="宋体" w:eastAsia="宋体" w:cs="Times New Roman"/>
          <w:color w:val="auto"/>
          <w:szCs w:val="21"/>
          <w:highlight w:val="none"/>
          <w:lang w:val="en-US" w:eastAsia="zh-CN"/>
        </w:rPr>
        <w:t>时</w:t>
      </w:r>
      <w:r>
        <w:rPr>
          <w:rFonts w:hint="eastAsia" w:ascii="宋体" w:hAnsi="宋体" w:cs="Times New Roman"/>
          <w:color w:val="auto"/>
          <w:szCs w:val="21"/>
          <w:highlight w:val="none"/>
          <w:lang w:val="en-US" w:eastAsia="zh-CN"/>
        </w:rPr>
        <w:t>30</w:t>
      </w:r>
      <w:r>
        <w:rPr>
          <w:rFonts w:hint="eastAsia" w:ascii="宋体" w:hAnsi="宋体" w:eastAsia="宋体" w:cs="Times New Roman"/>
          <w:color w:val="auto"/>
          <w:szCs w:val="21"/>
          <w:highlight w:val="none"/>
          <w:lang w:val="en-US" w:eastAsia="zh-CN"/>
        </w:rPr>
        <w:t>分</w:t>
      </w:r>
      <w:r>
        <w:rPr>
          <w:rFonts w:hint="eastAsia" w:ascii="宋体" w:hAnsi="宋体" w:cs="Times New Roman"/>
          <w:color w:val="auto"/>
          <w:szCs w:val="21"/>
          <w:highlight w:val="none"/>
          <w:lang w:val="en-US" w:eastAsia="zh-CN"/>
        </w:rPr>
        <w:t>00</w:t>
      </w:r>
      <w:r>
        <w:rPr>
          <w:rFonts w:hint="eastAsia" w:ascii="宋体" w:hAnsi="宋体" w:eastAsia="宋体" w:cs="Times New Roman"/>
          <w:color w:val="auto"/>
          <w:szCs w:val="21"/>
          <w:highlight w:val="none"/>
          <w:lang w:val="en-US" w:eastAsia="zh-CN"/>
        </w:rPr>
        <w:t>秒（北京时间）</w:t>
      </w:r>
    </w:p>
    <w:p>
      <w:pPr>
        <w:ind w:firstLine="480"/>
        <w:rPr>
          <w:rFonts w:ascii="宋体" w:hAnsi="宋体"/>
          <w:color w:val="auto"/>
          <w:szCs w:val="21"/>
          <w:highlight w:val="none"/>
        </w:rPr>
      </w:pPr>
      <w:r>
        <w:rPr>
          <w:rFonts w:hint="eastAsia" w:ascii="宋体" w:hAnsi="宋体"/>
          <w:color w:val="auto"/>
          <w:kern w:val="28"/>
          <w:szCs w:val="21"/>
          <w:highlight w:val="none"/>
        </w:rPr>
        <w:t>地点：</w:t>
      </w:r>
      <w:r>
        <w:rPr>
          <w:rFonts w:hint="eastAsia" w:ascii="宋体" w:hAnsi="宋体" w:eastAsia="宋体" w:cs="宋体"/>
          <w:color w:val="auto"/>
          <w:kern w:val="28"/>
          <w:szCs w:val="21"/>
        </w:rPr>
        <w:t>茂名市光华南路118号润威商厦602开标室</w:t>
      </w:r>
    </w:p>
    <w:p>
      <w:pPr>
        <w:pStyle w:val="4"/>
        <w:numPr>
          <w:ilvl w:val="0"/>
          <w:numId w:val="5"/>
        </w:numPr>
        <w:rPr>
          <w:color w:val="auto"/>
          <w:highlight w:val="none"/>
        </w:rPr>
      </w:pPr>
      <w:bookmarkStart w:id="12" w:name="_Toc104040682"/>
      <w:r>
        <w:rPr>
          <w:color w:val="auto"/>
          <w:highlight w:val="none"/>
        </w:rPr>
        <w:t>公告期限</w:t>
      </w:r>
      <w:bookmarkEnd w:id="12"/>
    </w:p>
    <w:p>
      <w:pPr>
        <w:ind w:firstLine="480"/>
        <w:rPr>
          <w:rFonts w:ascii="宋体" w:hAnsi="宋体"/>
          <w:color w:val="auto"/>
          <w:kern w:val="28"/>
          <w:szCs w:val="21"/>
          <w:highlight w:val="none"/>
        </w:rPr>
      </w:pPr>
      <w:r>
        <w:rPr>
          <w:rFonts w:hint="eastAsia" w:ascii="宋体" w:hAnsi="宋体"/>
          <w:color w:val="auto"/>
          <w:kern w:val="28"/>
          <w:szCs w:val="21"/>
          <w:highlight w:val="none"/>
        </w:rPr>
        <w:t>自本公告发布之日起</w:t>
      </w:r>
      <w:r>
        <w:rPr>
          <w:rFonts w:ascii="宋体" w:hAnsi="宋体"/>
          <w:color w:val="auto"/>
          <w:kern w:val="28"/>
          <w:szCs w:val="21"/>
          <w:highlight w:val="none"/>
        </w:rPr>
        <w:t>3个工作日。</w:t>
      </w:r>
    </w:p>
    <w:p>
      <w:pPr>
        <w:pStyle w:val="4"/>
        <w:numPr>
          <w:ilvl w:val="0"/>
          <w:numId w:val="5"/>
        </w:numPr>
        <w:rPr>
          <w:color w:val="auto"/>
          <w:highlight w:val="none"/>
        </w:rPr>
      </w:pPr>
      <w:bookmarkStart w:id="13" w:name="_Toc104040683"/>
      <w:r>
        <w:rPr>
          <w:color w:val="auto"/>
          <w:highlight w:val="none"/>
        </w:rPr>
        <w:t>其他补充事宜</w:t>
      </w:r>
      <w:bookmarkEnd w:id="13"/>
    </w:p>
    <w:p>
      <w:pPr>
        <w:ind w:firstLine="480"/>
        <w:rPr>
          <w:rFonts w:ascii="宋体" w:hAnsi="宋体"/>
          <w:color w:val="auto"/>
          <w:kern w:val="28"/>
          <w:szCs w:val="21"/>
          <w:highlight w:val="none"/>
        </w:rPr>
      </w:pPr>
      <w:r>
        <w:rPr>
          <w:rFonts w:hint="eastAsia" w:ascii="宋体" w:hAnsi="宋体"/>
          <w:color w:val="auto"/>
          <w:kern w:val="28"/>
          <w:szCs w:val="21"/>
          <w:highlight w:val="none"/>
        </w:rPr>
        <w:t>需要落实的政府采购政策： 1）《政府采购促进中小企业发展管理办法》（财库〔2020〕46号） 2）《关于政府采购支持监狱企业发展有关问题的通知》(财库〔2014〕68号) 3）《关于促进残疾人就业政府采购政策的通知》（财库〔2017〕141号) 4）《财政部 发展改革委 生态环境部 市场监管总局 关于调整优化节能产品、环境标志产品政府采购执行机制的通知》（财库〔2019〕9号） 5）《节能产品政府采购实施意见》的通知（财库〔2004〕185号）</w:t>
      </w:r>
    </w:p>
    <w:p>
      <w:pPr>
        <w:pStyle w:val="4"/>
        <w:numPr>
          <w:ilvl w:val="0"/>
          <w:numId w:val="5"/>
        </w:numPr>
        <w:rPr>
          <w:color w:val="auto"/>
          <w:highlight w:val="none"/>
        </w:rPr>
      </w:pPr>
      <w:bookmarkStart w:id="14" w:name="_Toc104040684"/>
      <w:r>
        <w:rPr>
          <w:color w:val="auto"/>
          <w:highlight w:val="none"/>
        </w:rPr>
        <w:t>凡对本次采购提出询问，请按以下方式联系</w:t>
      </w:r>
      <w:bookmarkEnd w:id="14"/>
    </w:p>
    <w:p>
      <w:pPr>
        <w:pStyle w:val="44"/>
        <w:spacing w:after="0" w:line="360" w:lineRule="auto"/>
        <w:ind w:firstLine="0" w:firstLineChars="0"/>
        <w:rPr>
          <w:rFonts w:cs="宋体"/>
          <w:b/>
          <w:bCs/>
          <w:color w:val="auto"/>
          <w:szCs w:val="21"/>
          <w:highlight w:val="none"/>
        </w:rPr>
      </w:pPr>
      <w:r>
        <w:rPr>
          <w:rFonts w:cs="宋体"/>
          <w:b/>
          <w:bCs/>
          <w:color w:val="auto"/>
          <w:szCs w:val="21"/>
          <w:highlight w:val="none"/>
        </w:rPr>
        <w:t>1.采购人信息</w:t>
      </w:r>
    </w:p>
    <w:p>
      <w:pPr>
        <w:pStyle w:val="44"/>
        <w:spacing w:after="0" w:line="360" w:lineRule="auto"/>
        <w:ind w:firstLineChars="200"/>
        <w:rPr>
          <w:rFonts w:hint="eastAsia" w:eastAsia="宋体" w:cs="宋体"/>
          <w:color w:val="auto"/>
          <w:szCs w:val="21"/>
          <w:highlight w:val="none"/>
          <w:lang w:eastAsia="zh-CN"/>
        </w:rPr>
      </w:pPr>
      <w:r>
        <w:rPr>
          <w:rFonts w:hint="eastAsia" w:cs="宋体"/>
          <w:color w:val="auto"/>
          <w:szCs w:val="21"/>
          <w:highlight w:val="none"/>
        </w:rPr>
        <w:t>名</w:t>
      </w:r>
      <w:r>
        <w:rPr>
          <w:rFonts w:cs="宋体"/>
          <w:color w:val="auto"/>
          <w:szCs w:val="21"/>
          <w:highlight w:val="none"/>
        </w:rPr>
        <w:t xml:space="preserve">    称：</w:t>
      </w:r>
      <w:r>
        <w:rPr>
          <w:rFonts w:hint="eastAsia" w:cs="宋体"/>
          <w:color w:val="auto"/>
          <w:szCs w:val="21"/>
          <w:highlight w:val="none"/>
          <w:lang w:eastAsia="zh-CN"/>
        </w:rPr>
        <w:t>信宜市中医院</w:t>
      </w:r>
    </w:p>
    <w:p>
      <w:pPr>
        <w:pStyle w:val="44"/>
        <w:spacing w:after="0" w:line="360" w:lineRule="auto"/>
        <w:ind w:firstLineChars="200"/>
        <w:rPr>
          <w:color w:val="auto"/>
          <w:highlight w:val="none"/>
        </w:rPr>
      </w:pPr>
      <w:r>
        <w:rPr>
          <w:rFonts w:hint="eastAsia" w:cs="宋体"/>
          <w:color w:val="auto"/>
          <w:szCs w:val="21"/>
          <w:highlight w:val="none"/>
        </w:rPr>
        <w:t>地</w:t>
      </w:r>
      <w:r>
        <w:rPr>
          <w:rFonts w:cs="宋体"/>
          <w:color w:val="auto"/>
          <w:szCs w:val="21"/>
          <w:highlight w:val="none"/>
        </w:rPr>
        <w:t xml:space="preserve">    址：</w:t>
      </w:r>
      <w:r>
        <w:rPr>
          <w:rFonts w:hint="eastAsia" w:cs="宋体"/>
          <w:color w:val="auto"/>
          <w:szCs w:val="21"/>
          <w:highlight w:val="none"/>
        </w:rPr>
        <w:t>广东省茂名市信宜市竹园路1号</w:t>
      </w:r>
    </w:p>
    <w:p>
      <w:pPr>
        <w:pStyle w:val="44"/>
        <w:spacing w:after="0" w:line="360" w:lineRule="auto"/>
        <w:ind w:firstLineChars="200"/>
        <w:rPr>
          <w:rFonts w:cs="宋体"/>
          <w:color w:val="auto"/>
          <w:szCs w:val="21"/>
          <w:highlight w:val="none"/>
        </w:rPr>
      </w:pPr>
      <w:r>
        <w:rPr>
          <w:rFonts w:hint="eastAsia" w:cs="宋体"/>
          <w:color w:val="auto"/>
          <w:szCs w:val="21"/>
          <w:highlight w:val="none"/>
        </w:rPr>
        <w:t>联系方式：高小姐</w:t>
      </w:r>
      <w:r>
        <w:rPr>
          <w:rFonts w:hint="eastAsia" w:cs="宋体"/>
          <w:color w:val="auto"/>
          <w:szCs w:val="21"/>
          <w:highlight w:val="none"/>
          <w:lang w:eastAsia="zh-CN"/>
        </w:rPr>
        <w:t>，</w:t>
      </w:r>
      <w:r>
        <w:rPr>
          <w:rFonts w:hint="eastAsia" w:cs="宋体"/>
          <w:color w:val="auto"/>
          <w:szCs w:val="21"/>
          <w:highlight w:val="none"/>
        </w:rPr>
        <w:t>0668-8893861</w:t>
      </w:r>
    </w:p>
    <w:p>
      <w:pPr>
        <w:pStyle w:val="44"/>
        <w:spacing w:after="0" w:line="360" w:lineRule="auto"/>
        <w:ind w:firstLine="0" w:firstLineChars="0"/>
        <w:rPr>
          <w:rFonts w:cs="宋体"/>
          <w:b/>
          <w:bCs/>
          <w:color w:val="auto"/>
          <w:szCs w:val="21"/>
          <w:highlight w:val="none"/>
        </w:rPr>
      </w:pPr>
      <w:r>
        <w:rPr>
          <w:rFonts w:cs="宋体"/>
          <w:b/>
          <w:bCs/>
          <w:color w:val="auto"/>
          <w:szCs w:val="21"/>
          <w:highlight w:val="none"/>
        </w:rPr>
        <w:t>2.采购代理机构信息</w:t>
      </w:r>
    </w:p>
    <w:p>
      <w:pPr>
        <w:pStyle w:val="44"/>
        <w:spacing w:after="0" w:line="360" w:lineRule="auto"/>
        <w:ind w:firstLineChars="200"/>
        <w:rPr>
          <w:rFonts w:cs="宋体"/>
          <w:color w:val="auto"/>
          <w:szCs w:val="21"/>
          <w:highlight w:val="none"/>
        </w:rPr>
      </w:pPr>
      <w:r>
        <w:rPr>
          <w:rFonts w:hint="eastAsia" w:cs="宋体"/>
          <w:color w:val="auto"/>
          <w:szCs w:val="21"/>
          <w:highlight w:val="none"/>
        </w:rPr>
        <w:t>名</w:t>
      </w:r>
      <w:r>
        <w:rPr>
          <w:rFonts w:cs="宋体"/>
          <w:color w:val="auto"/>
          <w:szCs w:val="21"/>
          <w:highlight w:val="none"/>
        </w:rPr>
        <w:t xml:space="preserve">    称：广东达禾工程管理有限公司</w:t>
      </w:r>
    </w:p>
    <w:p>
      <w:pPr>
        <w:pStyle w:val="44"/>
        <w:spacing w:after="0" w:line="360" w:lineRule="auto"/>
        <w:ind w:firstLineChars="200"/>
        <w:rPr>
          <w:rFonts w:cs="宋体"/>
          <w:color w:val="auto"/>
          <w:szCs w:val="21"/>
          <w:highlight w:val="none"/>
        </w:rPr>
      </w:pPr>
      <w:r>
        <w:rPr>
          <w:rFonts w:hint="eastAsia" w:cs="宋体"/>
          <w:color w:val="auto"/>
          <w:szCs w:val="21"/>
          <w:highlight w:val="none"/>
        </w:rPr>
        <w:t>地</w:t>
      </w:r>
      <w:r>
        <w:rPr>
          <w:rFonts w:cs="宋体"/>
          <w:color w:val="auto"/>
          <w:szCs w:val="21"/>
          <w:highlight w:val="none"/>
        </w:rPr>
        <w:t xml:space="preserve">    址：</w:t>
      </w:r>
      <w:r>
        <w:rPr>
          <w:rFonts w:hint="eastAsia"/>
          <w:color w:val="auto"/>
          <w:kern w:val="28"/>
          <w:szCs w:val="21"/>
          <w:highlight w:val="none"/>
        </w:rPr>
        <w:t>茂名市光华南路118号润威商厦</w:t>
      </w:r>
      <w:r>
        <w:rPr>
          <w:rFonts w:hint="eastAsia"/>
          <w:color w:val="auto"/>
          <w:kern w:val="28"/>
          <w:szCs w:val="21"/>
          <w:highlight w:val="none"/>
          <w:lang w:val="en-US" w:eastAsia="zh-CN"/>
        </w:rPr>
        <w:t>6</w:t>
      </w:r>
      <w:r>
        <w:rPr>
          <w:rFonts w:hint="eastAsia"/>
          <w:color w:val="auto"/>
          <w:kern w:val="28"/>
          <w:szCs w:val="21"/>
          <w:highlight w:val="none"/>
        </w:rPr>
        <w:t>楼</w:t>
      </w:r>
    </w:p>
    <w:p>
      <w:pPr>
        <w:pStyle w:val="44"/>
        <w:spacing w:after="0" w:line="360" w:lineRule="auto"/>
        <w:ind w:firstLineChars="200"/>
        <w:rPr>
          <w:rFonts w:cs="宋体"/>
          <w:color w:val="auto"/>
          <w:szCs w:val="21"/>
          <w:highlight w:val="none"/>
        </w:rPr>
      </w:pPr>
      <w:r>
        <w:rPr>
          <w:rFonts w:hint="eastAsia" w:cs="宋体"/>
          <w:color w:val="auto"/>
          <w:szCs w:val="21"/>
          <w:highlight w:val="none"/>
        </w:rPr>
        <w:t>联系方式：</w:t>
      </w:r>
      <w:r>
        <w:rPr>
          <w:rFonts w:hint="eastAsia" w:ascii="宋体" w:hAnsi="宋体" w:eastAsia="宋体" w:cs="宋体"/>
          <w:color w:val="auto"/>
          <w:szCs w:val="21"/>
          <w:lang w:val="en-US" w:eastAsia="zh-CN"/>
        </w:rPr>
        <w:t>许小姐</w:t>
      </w:r>
      <w:r>
        <w:rPr>
          <w:rFonts w:hint="eastAsia" w:ascii="宋体" w:hAnsi="宋体" w:eastAsia="宋体" w:cs="宋体"/>
          <w:color w:val="auto"/>
          <w:szCs w:val="21"/>
          <w:lang w:eastAsia="zh-CN"/>
        </w:rPr>
        <w:t>，</w:t>
      </w:r>
      <w:r>
        <w:rPr>
          <w:rFonts w:hint="eastAsia" w:ascii="宋体" w:hAnsi="宋体" w:eastAsia="宋体" w:cs="宋体"/>
          <w:color w:val="auto"/>
          <w:szCs w:val="21"/>
        </w:rPr>
        <w:t>0668-2998639</w:t>
      </w:r>
    </w:p>
    <w:p>
      <w:pPr>
        <w:pStyle w:val="44"/>
        <w:spacing w:after="0" w:line="360" w:lineRule="auto"/>
        <w:ind w:firstLine="210"/>
        <w:rPr>
          <w:color w:val="auto"/>
          <w:szCs w:val="21"/>
          <w:highlight w:val="none"/>
        </w:rPr>
      </w:pPr>
    </w:p>
    <w:p>
      <w:pPr>
        <w:pStyle w:val="44"/>
        <w:spacing w:after="0" w:line="360" w:lineRule="auto"/>
        <w:ind w:firstLine="210"/>
        <w:rPr>
          <w:color w:val="auto"/>
          <w:szCs w:val="21"/>
          <w:highlight w:val="none"/>
        </w:rPr>
      </w:pPr>
    </w:p>
    <w:p>
      <w:pPr>
        <w:adjustRightInd w:val="0"/>
        <w:snapToGrid w:val="0"/>
        <w:ind w:right="-51" w:firstLine="2730" w:firstLineChars="1300"/>
        <w:jc w:val="right"/>
        <w:rPr>
          <w:rFonts w:ascii="宋体" w:hAnsi="宋体"/>
          <w:bCs/>
          <w:color w:val="auto"/>
          <w:szCs w:val="21"/>
          <w:highlight w:val="none"/>
        </w:rPr>
      </w:pPr>
      <w:r>
        <w:rPr>
          <w:rFonts w:hint="eastAsia" w:ascii="宋体" w:hAnsi="宋体"/>
          <w:bCs/>
          <w:color w:val="auto"/>
          <w:szCs w:val="21"/>
          <w:highlight w:val="none"/>
        </w:rPr>
        <w:t>广东达禾工程管理有限公司</w:t>
      </w:r>
    </w:p>
    <w:p>
      <w:pPr>
        <w:ind w:firstLine="420"/>
        <w:jc w:val="right"/>
        <w:rPr>
          <w:rFonts w:hint="eastAsia" w:ascii="宋体" w:hAnsi="宋体"/>
          <w:color w:val="auto"/>
          <w:szCs w:val="21"/>
          <w:highlight w:val="none"/>
        </w:rPr>
      </w:pPr>
      <w:bookmarkStart w:id="15" w:name="_Toc35342045"/>
      <w:r>
        <w:rPr>
          <w:rFonts w:hint="eastAsia" w:ascii="宋体" w:hAnsi="宋体"/>
          <w:color w:val="auto"/>
          <w:szCs w:val="21"/>
          <w:highlight w:val="none"/>
          <w:lang w:val="en-US" w:eastAsia="zh-CN"/>
        </w:rPr>
        <w:t>2024</w:t>
      </w:r>
      <w:r>
        <w:rPr>
          <w:rFonts w:hint="eastAsia" w:ascii="宋体" w:hAnsi="宋体"/>
          <w:color w:val="auto"/>
          <w:szCs w:val="21"/>
          <w:highlight w:val="none"/>
        </w:rPr>
        <w:t>年</w:t>
      </w:r>
      <w:r>
        <w:rPr>
          <w:rFonts w:hint="eastAsia" w:ascii="宋体" w:hAnsi="宋体"/>
          <w:color w:val="auto"/>
          <w:szCs w:val="21"/>
          <w:highlight w:val="none"/>
          <w:lang w:val="en-US" w:eastAsia="zh-CN"/>
        </w:rPr>
        <w:t>05</w:t>
      </w:r>
      <w:r>
        <w:rPr>
          <w:rFonts w:hint="eastAsia" w:ascii="宋体" w:hAnsi="宋体"/>
          <w:color w:val="auto"/>
          <w:szCs w:val="21"/>
          <w:highlight w:val="none"/>
        </w:rPr>
        <w:t>月</w:t>
      </w:r>
      <w:r>
        <w:rPr>
          <w:rFonts w:hint="eastAsia" w:ascii="宋体" w:hAnsi="宋体"/>
          <w:color w:val="auto"/>
          <w:szCs w:val="21"/>
          <w:highlight w:val="none"/>
          <w:lang w:val="en-US" w:eastAsia="zh-CN"/>
        </w:rPr>
        <w:t>22</w:t>
      </w:r>
      <w:r>
        <w:rPr>
          <w:rFonts w:hint="eastAsia" w:ascii="宋体" w:hAnsi="宋体"/>
          <w:color w:val="auto"/>
          <w:szCs w:val="21"/>
          <w:highlight w:val="none"/>
        </w:rPr>
        <w:t>日</w:t>
      </w:r>
    </w:p>
    <w:p>
      <w:pPr>
        <w:ind w:firstLine="420"/>
        <w:jc w:val="both"/>
        <w:rPr>
          <w:rFonts w:ascii="宋体" w:hAnsi="宋体"/>
          <w:color w:val="auto"/>
          <w:sz w:val="28"/>
          <w:highlight w:val="none"/>
        </w:rPr>
      </w:pPr>
      <w:r>
        <w:rPr>
          <w:rFonts w:ascii="宋体" w:hAnsi="宋体"/>
          <w:color w:val="auto"/>
          <w:highlight w:val="none"/>
        </w:rPr>
        <w:br w:type="page"/>
      </w:r>
    </w:p>
    <w:p>
      <w:pPr>
        <w:pStyle w:val="3"/>
        <w:rPr>
          <w:color w:val="auto"/>
          <w:highlight w:val="none"/>
        </w:rPr>
      </w:pPr>
      <w:bookmarkStart w:id="16" w:name="_Toc104040685"/>
      <w:bookmarkStart w:id="17" w:name="_Toc103033202"/>
      <w:bookmarkStart w:id="18" w:name="_Toc114516594"/>
      <w:bookmarkStart w:id="19" w:name="_Toc103216634"/>
      <w:bookmarkStart w:id="20" w:name="_Toc101122290"/>
      <w:bookmarkStart w:id="21" w:name="_Hlk103194593"/>
      <w:r>
        <w:rPr>
          <w:rFonts w:hint="eastAsia"/>
          <w:color w:val="auto"/>
          <w:highlight w:val="none"/>
        </w:rPr>
        <w:t>第二章</w:t>
      </w:r>
      <w:r>
        <w:rPr>
          <w:color w:val="auto"/>
          <w:highlight w:val="none"/>
        </w:rPr>
        <w:t xml:space="preserve"> </w:t>
      </w:r>
      <w:r>
        <w:rPr>
          <w:rFonts w:hint="eastAsia"/>
          <w:color w:val="auto"/>
          <w:highlight w:val="none"/>
        </w:rPr>
        <w:t>采购需求</w:t>
      </w:r>
      <w:bookmarkEnd w:id="16"/>
      <w:bookmarkEnd w:id="17"/>
      <w:bookmarkEnd w:id="18"/>
      <w:bookmarkEnd w:id="19"/>
      <w:bookmarkEnd w:id="20"/>
    </w:p>
    <w:p>
      <w:pPr>
        <w:pStyle w:val="45"/>
        <w:spacing w:after="0" w:line="360" w:lineRule="auto"/>
        <w:ind w:left="0" w:leftChars="0" w:firstLine="0" w:firstLineChars="0"/>
        <w:rPr>
          <w:b/>
          <w:bCs/>
          <w:color w:val="auto"/>
          <w:szCs w:val="21"/>
          <w:highlight w:val="none"/>
        </w:rPr>
      </w:pPr>
      <w:bookmarkStart w:id="22" w:name="_Hlk112005103"/>
      <w:r>
        <w:rPr>
          <w:rFonts w:hint="eastAsia"/>
          <w:b/>
          <w:bCs/>
          <w:color w:val="auto"/>
          <w:szCs w:val="21"/>
          <w:highlight w:val="none"/>
        </w:rPr>
        <w:t>说明：</w:t>
      </w:r>
    </w:p>
    <w:p>
      <w:pPr>
        <w:pStyle w:val="45"/>
        <w:spacing w:after="0" w:line="360" w:lineRule="auto"/>
        <w:ind w:left="0" w:leftChars="0" w:firstLine="422"/>
        <w:rPr>
          <w:b/>
          <w:bCs/>
          <w:color w:val="auto"/>
          <w:szCs w:val="21"/>
          <w:highlight w:val="none"/>
        </w:rPr>
      </w:pPr>
      <w:r>
        <w:rPr>
          <w:b/>
          <w:bCs/>
          <w:color w:val="auto"/>
          <w:szCs w:val="21"/>
          <w:highlight w:val="none"/>
        </w:rPr>
        <w:t>1.供应商须对本项目为单位的货物</w:t>
      </w:r>
      <w:r>
        <w:rPr>
          <w:rFonts w:hint="eastAsia"/>
          <w:b/>
          <w:bCs/>
          <w:color w:val="auto"/>
          <w:szCs w:val="21"/>
          <w:highlight w:val="none"/>
        </w:rPr>
        <w:t>或</w:t>
      </w:r>
      <w:r>
        <w:rPr>
          <w:b/>
          <w:bCs/>
          <w:color w:val="auto"/>
          <w:szCs w:val="21"/>
          <w:highlight w:val="none"/>
        </w:rPr>
        <w:t>服务进行整体响应，任何只对采购标的或服务内容其中一部分内容进行响应的，将作无效</w:t>
      </w:r>
      <w:r>
        <w:rPr>
          <w:rFonts w:hint="eastAsia"/>
          <w:b/>
          <w:bCs/>
          <w:color w:val="auto"/>
          <w:szCs w:val="21"/>
          <w:highlight w:val="none"/>
        </w:rPr>
        <w:t>投标（响应）</w:t>
      </w:r>
      <w:r>
        <w:rPr>
          <w:b/>
          <w:bCs/>
          <w:color w:val="auto"/>
          <w:szCs w:val="21"/>
          <w:highlight w:val="none"/>
        </w:rPr>
        <w:t>处理。</w:t>
      </w:r>
    </w:p>
    <w:p>
      <w:pPr>
        <w:pStyle w:val="45"/>
        <w:spacing w:after="0" w:line="360" w:lineRule="auto"/>
        <w:ind w:left="0" w:leftChars="0" w:firstLine="422"/>
        <w:rPr>
          <w:b/>
          <w:bCs/>
          <w:color w:val="auto"/>
          <w:szCs w:val="21"/>
          <w:highlight w:val="none"/>
        </w:rPr>
      </w:pPr>
      <w:r>
        <w:rPr>
          <w:b/>
          <w:bCs/>
          <w:color w:val="auto"/>
          <w:szCs w:val="21"/>
          <w:highlight w:val="none"/>
        </w:rPr>
        <w:t>2.采购需求中标注“★”号条款</w:t>
      </w:r>
      <w:r>
        <w:rPr>
          <w:rFonts w:hint="eastAsia"/>
          <w:b/>
          <w:bCs/>
          <w:color w:val="auto"/>
          <w:szCs w:val="21"/>
          <w:highlight w:val="none"/>
        </w:rPr>
        <w:t>（如有）</w:t>
      </w:r>
      <w:r>
        <w:rPr>
          <w:b/>
          <w:bCs/>
          <w:color w:val="auto"/>
          <w:szCs w:val="21"/>
          <w:highlight w:val="none"/>
        </w:rPr>
        <w:t>为实质性条款，供应商须按要求对其进行逐条响应，当出现负偏离或未响应，将作无效</w:t>
      </w:r>
      <w:r>
        <w:rPr>
          <w:rFonts w:hint="eastAsia"/>
          <w:b/>
          <w:bCs/>
          <w:color w:val="auto"/>
          <w:szCs w:val="21"/>
          <w:highlight w:val="none"/>
        </w:rPr>
        <w:t>投标（响应）</w:t>
      </w:r>
      <w:r>
        <w:rPr>
          <w:b/>
          <w:bCs/>
          <w:color w:val="auto"/>
          <w:szCs w:val="21"/>
          <w:highlight w:val="none"/>
        </w:rPr>
        <w:t>处理；若要求提供证明材料，还须按要求提供证明材料，否</w:t>
      </w:r>
      <w:r>
        <w:rPr>
          <w:rFonts w:hint="eastAsia"/>
          <w:b/>
          <w:bCs/>
          <w:color w:val="auto"/>
          <w:szCs w:val="21"/>
          <w:highlight w:val="none"/>
        </w:rPr>
        <w:t xml:space="preserve"> </w:t>
      </w:r>
      <w:r>
        <w:rPr>
          <w:b/>
          <w:bCs/>
          <w:color w:val="auto"/>
          <w:szCs w:val="21"/>
          <w:highlight w:val="none"/>
        </w:rPr>
        <w:t>则将作无效</w:t>
      </w:r>
      <w:r>
        <w:rPr>
          <w:rFonts w:hint="eastAsia"/>
          <w:b/>
          <w:bCs/>
          <w:color w:val="auto"/>
          <w:szCs w:val="21"/>
          <w:highlight w:val="none"/>
        </w:rPr>
        <w:t>投标（响应）</w:t>
      </w:r>
      <w:r>
        <w:rPr>
          <w:b/>
          <w:bCs/>
          <w:color w:val="auto"/>
          <w:szCs w:val="21"/>
          <w:highlight w:val="none"/>
        </w:rPr>
        <w:t>处理。</w:t>
      </w:r>
    </w:p>
    <w:p>
      <w:pPr>
        <w:pStyle w:val="45"/>
        <w:spacing w:after="0" w:line="360" w:lineRule="auto"/>
        <w:ind w:left="0" w:leftChars="0" w:firstLine="422"/>
        <w:rPr>
          <w:rFonts w:ascii="宋体" w:hAnsi="宋体"/>
          <w:color w:val="auto"/>
          <w:szCs w:val="21"/>
          <w:highlight w:val="none"/>
        </w:rPr>
      </w:pPr>
      <w:r>
        <w:rPr>
          <w:rFonts w:ascii="宋体" w:hAnsi="宋体"/>
          <w:b/>
          <w:bCs/>
          <w:color w:val="auto"/>
          <w:szCs w:val="21"/>
          <w:highlight w:val="none"/>
        </w:rPr>
        <w:t>3.采购需求中标注“▲”号条款</w:t>
      </w:r>
      <w:r>
        <w:rPr>
          <w:rFonts w:hint="eastAsia"/>
          <w:b/>
          <w:bCs/>
          <w:color w:val="auto"/>
          <w:szCs w:val="21"/>
          <w:highlight w:val="none"/>
        </w:rPr>
        <w:t>（如有）</w:t>
      </w:r>
      <w:r>
        <w:rPr>
          <w:rFonts w:ascii="宋体" w:hAnsi="宋体"/>
          <w:b/>
          <w:bCs/>
          <w:color w:val="auto"/>
          <w:szCs w:val="21"/>
          <w:highlight w:val="none"/>
        </w:rPr>
        <w:t>为重要技术条款，供应商须按要求对其进行逐条响应，当出现负偏离或未响应，对应项将不予以计分，不会作无效</w:t>
      </w:r>
      <w:r>
        <w:rPr>
          <w:rFonts w:hint="eastAsia" w:ascii="宋体" w:hAnsi="宋体"/>
          <w:b/>
          <w:bCs/>
          <w:color w:val="auto"/>
          <w:szCs w:val="21"/>
          <w:highlight w:val="none"/>
        </w:rPr>
        <w:t>投标（响应）</w:t>
      </w:r>
      <w:r>
        <w:rPr>
          <w:rFonts w:ascii="宋体" w:hAnsi="宋体"/>
          <w:b/>
          <w:bCs/>
          <w:color w:val="auto"/>
          <w:szCs w:val="21"/>
          <w:highlight w:val="none"/>
        </w:rPr>
        <w:t>处理；若要求提供证明材料，还须按要求提供证明材料，否则不予计分。</w:t>
      </w:r>
    </w:p>
    <w:p>
      <w:pPr>
        <w:adjustRightInd w:val="0"/>
        <w:snapToGrid w:val="0"/>
        <w:rPr>
          <w:rFonts w:ascii="宋体" w:hAnsi="宋体"/>
          <w:color w:val="auto"/>
          <w:szCs w:val="21"/>
          <w:highlight w:val="none"/>
        </w:rPr>
      </w:pPr>
    </w:p>
    <w:p>
      <w:pPr>
        <w:pStyle w:val="4"/>
        <w:rPr>
          <w:rFonts w:hint="eastAsia" w:ascii="宋体" w:hAnsi="宋体" w:eastAsia="宋体" w:cs="宋体"/>
          <w:color w:val="auto"/>
          <w:sz w:val="21"/>
          <w:szCs w:val="21"/>
          <w:highlight w:val="none"/>
        </w:rPr>
      </w:pPr>
      <w:bookmarkStart w:id="23" w:name="_Toc104040686"/>
      <w:r>
        <w:rPr>
          <w:rFonts w:hint="eastAsia" w:ascii="宋体" w:hAnsi="宋体" w:eastAsia="宋体" w:cs="宋体"/>
          <w:color w:val="auto"/>
          <w:sz w:val="21"/>
          <w:szCs w:val="21"/>
          <w:highlight w:val="none"/>
        </w:rPr>
        <w:t>一、项目概述</w:t>
      </w:r>
      <w:bookmarkEnd w:id="23"/>
    </w:p>
    <w:bookmarkEnd w:id="21"/>
    <w:p>
      <w:pPr>
        <w:spacing w:line="380" w:lineRule="exact"/>
        <w:rPr>
          <w:rFonts w:hint="eastAsia" w:ascii="宋体" w:hAnsi="宋体" w:cs="宋体"/>
          <w:color w:val="auto"/>
          <w:sz w:val="21"/>
          <w:szCs w:val="21"/>
        </w:rPr>
      </w:pPr>
      <w:r>
        <w:rPr>
          <w:rFonts w:hint="eastAsia" w:ascii="宋体" w:hAnsi="宋体" w:cs="宋体"/>
          <w:color w:val="auto"/>
          <w:sz w:val="21"/>
          <w:szCs w:val="21"/>
        </w:rPr>
        <w:t>1.本项目将确定 1 名</w:t>
      </w:r>
      <w:r>
        <w:rPr>
          <w:rFonts w:hint="eastAsia" w:ascii="宋体" w:hAnsi="宋体" w:cs="宋体"/>
          <w:color w:val="auto"/>
          <w:sz w:val="21"/>
          <w:szCs w:val="21"/>
          <w:lang w:eastAsia="zh-CN"/>
        </w:rPr>
        <w:t>成交人</w:t>
      </w:r>
      <w:r>
        <w:rPr>
          <w:rFonts w:hint="eastAsia" w:ascii="宋体" w:hAnsi="宋体" w:cs="宋体"/>
          <w:color w:val="auto"/>
          <w:sz w:val="21"/>
          <w:szCs w:val="21"/>
        </w:rPr>
        <w:t>作为“信宜市</w:t>
      </w:r>
      <w:r>
        <w:rPr>
          <w:rFonts w:hint="eastAsia" w:ascii="宋体" w:hAnsi="宋体" w:cs="宋体"/>
          <w:color w:val="auto"/>
          <w:sz w:val="21"/>
          <w:szCs w:val="21"/>
          <w:lang w:eastAsia="zh-CN"/>
        </w:rPr>
        <w:t>中</w:t>
      </w:r>
      <w:r>
        <w:rPr>
          <w:rFonts w:hint="eastAsia" w:ascii="宋体" w:hAnsi="宋体" w:cs="宋体"/>
          <w:color w:val="auto"/>
          <w:sz w:val="21"/>
          <w:szCs w:val="21"/>
        </w:rPr>
        <w:t>医院食堂副食品及其配送服务项目”的中标供货商；</w:t>
      </w:r>
    </w:p>
    <w:p>
      <w:pPr>
        <w:tabs>
          <w:tab w:val="left" w:pos="3210"/>
        </w:tabs>
        <w:spacing w:line="380" w:lineRule="exact"/>
        <w:rPr>
          <w:rFonts w:hint="eastAsia" w:ascii="宋体" w:hAnsi="宋体" w:cs="宋体"/>
          <w:color w:val="auto"/>
          <w:sz w:val="21"/>
          <w:szCs w:val="21"/>
        </w:rPr>
      </w:pPr>
      <w:r>
        <w:rPr>
          <w:rFonts w:hint="eastAsia" w:ascii="宋体" w:hAnsi="宋体" w:cs="宋体"/>
          <w:color w:val="auto"/>
          <w:sz w:val="21"/>
          <w:szCs w:val="21"/>
        </w:rPr>
        <w:t>2.</w:t>
      </w:r>
      <w:r>
        <w:rPr>
          <w:rFonts w:hint="eastAsia"/>
          <w:color w:val="auto"/>
        </w:rPr>
        <w:t xml:space="preserve"> </w:t>
      </w:r>
      <w:r>
        <w:rPr>
          <w:rFonts w:hint="eastAsia" w:ascii="宋体" w:hAnsi="宋体" w:cs="宋体"/>
          <w:color w:val="auto"/>
          <w:sz w:val="21"/>
          <w:szCs w:val="21"/>
        </w:rPr>
        <w:t>所供的物品必须符合“中华人民共和国食品安全法”要求；</w:t>
      </w:r>
    </w:p>
    <w:p>
      <w:pPr>
        <w:tabs>
          <w:tab w:val="left" w:pos="3210"/>
        </w:tabs>
        <w:spacing w:line="380" w:lineRule="exact"/>
        <w:rPr>
          <w:rFonts w:hint="eastAsia"/>
          <w:color w:val="auto"/>
        </w:rPr>
      </w:pPr>
      <w:r>
        <w:rPr>
          <w:rFonts w:hint="eastAsia" w:ascii="宋体" w:hAnsi="宋体" w:cs="宋体"/>
          <w:color w:val="auto"/>
          <w:sz w:val="21"/>
          <w:szCs w:val="21"/>
        </w:rPr>
        <w:t>3.采购项目内容：</w:t>
      </w:r>
    </w:p>
    <w:tbl>
      <w:tblPr>
        <w:tblStyle w:val="46"/>
        <w:tblpPr w:leftFromText="180" w:rightFromText="180" w:vertAnchor="text" w:horzAnchor="page" w:tblpX="1667" w:tblpY="147"/>
        <w:tblOverlap w:val="never"/>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5"/>
        <w:gridCol w:w="1600"/>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6225" w:type="dxa"/>
            <w:shd w:val="clear" w:color="auto" w:fill="EEECE1"/>
            <w:noWrap w:val="0"/>
            <w:vAlign w:val="top"/>
          </w:tcPr>
          <w:p>
            <w:pPr>
              <w:spacing w:line="380" w:lineRule="exact"/>
              <w:jc w:val="center"/>
              <w:rPr>
                <w:rFonts w:hint="eastAsia" w:ascii="宋体"/>
                <w:b/>
                <w:color w:val="auto"/>
                <w:sz w:val="21"/>
                <w:szCs w:val="21"/>
              </w:rPr>
            </w:pPr>
            <w:r>
              <w:rPr>
                <w:rFonts w:hint="eastAsia" w:ascii="宋体"/>
                <w:b/>
                <w:color w:val="auto"/>
                <w:sz w:val="21"/>
                <w:szCs w:val="21"/>
              </w:rPr>
              <w:t>采购内容</w:t>
            </w:r>
          </w:p>
        </w:tc>
        <w:tc>
          <w:tcPr>
            <w:tcW w:w="1600" w:type="dxa"/>
            <w:shd w:val="clear" w:color="auto" w:fill="EEECE1"/>
            <w:noWrap w:val="0"/>
            <w:vAlign w:val="center"/>
          </w:tcPr>
          <w:p>
            <w:pPr>
              <w:spacing w:line="380" w:lineRule="exact"/>
              <w:jc w:val="center"/>
              <w:rPr>
                <w:rFonts w:ascii="宋体"/>
                <w:b/>
                <w:color w:val="auto"/>
                <w:sz w:val="21"/>
                <w:szCs w:val="21"/>
              </w:rPr>
            </w:pPr>
            <w:r>
              <w:rPr>
                <w:rFonts w:hint="eastAsia" w:ascii="宋体"/>
                <w:b/>
                <w:color w:val="auto"/>
                <w:sz w:val="21"/>
                <w:szCs w:val="21"/>
              </w:rPr>
              <w:t>预算金额（元）</w:t>
            </w:r>
          </w:p>
        </w:tc>
        <w:tc>
          <w:tcPr>
            <w:tcW w:w="1679" w:type="dxa"/>
            <w:shd w:val="clear" w:color="auto" w:fill="EEECE1"/>
            <w:noWrap w:val="0"/>
            <w:vAlign w:val="center"/>
          </w:tcPr>
          <w:p>
            <w:pPr>
              <w:spacing w:line="380" w:lineRule="exact"/>
              <w:jc w:val="center"/>
              <w:rPr>
                <w:rFonts w:ascii="宋体"/>
                <w:b/>
                <w:color w:val="auto"/>
                <w:sz w:val="21"/>
                <w:szCs w:val="21"/>
              </w:rPr>
            </w:pPr>
            <w:r>
              <w:rPr>
                <w:rFonts w:hint="eastAsia" w:ascii="宋体"/>
                <w:b/>
                <w:color w:val="auto"/>
                <w:sz w:val="21"/>
                <w:szCs w:val="21"/>
              </w:rPr>
              <w:t>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6225" w:type="dxa"/>
            <w:noWrap w:val="0"/>
            <w:vAlign w:val="center"/>
          </w:tcPr>
          <w:p>
            <w:pPr>
              <w:spacing w:line="380" w:lineRule="exact"/>
              <w:jc w:val="center"/>
              <w:rPr>
                <w:rFonts w:ascii="宋体"/>
                <w:bCs/>
                <w:color w:val="auto"/>
                <w:sz w:val="21"/>
                <w:szCs w:val="21"/>
              </w:rPr>
            </w:pPr>
            <w:r>
              <w:rPr>
                <w:rFonts w:hint="eastAsia" w:ascii="宋体"/>
                <w:bCs/>
                <w:color w:val="auto"/>
                <w:sz w:val="21"/>
                <w:szCs w:val="21"/>
              </w:rPr>
              <w:t>肉类</w:t>
            </w:r>
            <w:r>
              <w:rPr>
                <w:rFonts w:hint="eastAsia" w:ascii="宋体"/>
                <w:bCs/>
                <w:color w:val="auto"/>
                <w:sz w:val="21"/>
                <w:szCs w:val="21"/>
                <w:lang w:eastAsia="zh-CN"/>
              </w:rPr>
              <w:t>：</w:t>
            </w:r>
            <w:r>
              <w:rPr>
                <w:rFonts w:hint="eastAsia" w:ascii="宋体"/>
                <w:bCs/>
                <w:color w:val="auto"/>
                <w:sz w:val="21"/>
                <w:szCs w:val="21"/>
              </w:rPr>
              <w:t>新鲜猪肉、牛肉、</w:t>
            </w:r>
            <w:r>
              <w:rPr>
                <w:rFonts w:hint="eastAsia" w:ascii="宋体"/>
                <w:bCs/>
                <w:color w:val="auto"/>
                <w:sz w:val="21"/>
                <w:szCs w:val="21"/>
                <w:lang w:eastAsia="zh-CN"/>
              </w:rPr>
              <w:t>羊肉等，</w:t>
            </w:r>
            <w:r>
              <w:rPr>
                <w:rFonts w:hint="eastAsia" w:ascii="宋体"/>
                <w:bCs/>
                <w:color w:val="auto"/>
                <w:sz w:val="21"/>
                <w:szCs w:val="21"/>
              </w:rPr>
              <w:t>鲜活类（鸡、鸭、鹅、鱼、冻品、蛋类</w:t>
            </w:r>
            <w:r>
              <w:rPr>
                <w:rFonts w:hint="eastAsia" w:ascii="宋体"/>
                <w:bCs/>
                <w:color w:val="auto"/>
                <w:sz w:val="21"/>
                <w:szCs w:val="21"/>
                <w:lang w:eastAsia="zh-CN"/>
              </w:rPr>
              <w:t>等</w:t>
            </w:r>
            <w:r>
              <w:rPr>
                <w:rFonts w:hint="eastAsia" w:ascii="宋体"/>
                <w:bCs/>
                <w:color w:val="auto"/>
                <w:sz w:val="21"/>
                <w:szCs w:val="21"/>
              </w:rPr>
              <w:t>）</w:t>
            </w:r>
          </w:p>
        </w:tc>
        <w:tc>
          <w:tcPr>
            <w:tcW w:w="1600" w:type="dxa"/>
            <w:vMerge w:val="restart"/>
            <w:noWrap w:val="0"/>
            <w:vAlign w:val="center"/>
          </w:tcPr>
          <w:p>
            <w:pPr>
              <w:pStyle w:val="291"/>
              <w:spacing w:line="380" w:lineRule="exact"/>
              <w:ind w:hanging="67"/>
              <w:rPr>
                <w:rFonts w:hint="eastAsia" w:eastAsia="宋体"/>
                <w:snapToGrid/>
                <w:color w:val="auto"/>
                <w:spacing w:val="0"/>
                <w:kern w:val="2"/>
                <w:sz w:val="21"/>
                <w:szCs w:val="21"/>
                <w:lang w:val="en-US" w:eastAsia="zh-CN"/>
              </w:rPr>
            </w:pPr>
            <w:r>
              <w:rPr>
                <w:rFonts w:hint="eastAsia" w:ascii="宋体" w:hAnsi="Courier New" w:eastAsia="宋体" w:cs="Times New Roman"/>
                <w:bCs/>
                <w:snapToGrid/>
                <w:color w:val="auto"/>
                <w:spacing w:val="0"/>
                <w:kern w:val="2"/>
                <w:sz w:val="21"/>
                <w:szCs w:val="21"/>
                <w:lang w:val="en-US" w:eastAsia="zh-CN" w:bidi="ar-SA"/>
              </w:rPr>
              <w:t>650,000.00</w:t>
            </w:r>
          </w:p>
        </w:tc>
        <w:tc>
          <w:tcPr>
            <w:tcW w:w="1679" w:type="dxa"/>
            <w:vMerge w:val="restart"/>
            <w:noWrap w:val="0"/>
            <w:vAlign w:val="center"/>
          </w:tcPr>
          <w:p>
            <w:pPr>
              <w:pStyle w:val="291"/>
              <w:spacing w:line="380" w:lineRule="exact"/>
              <w:ind w:hanging="67"/>
              <w:rPr>
                <w:snapToGrid/>
                <w:color w:val="auto"/>
                <w:spacing w:val="0"/>
                <w:kern w:val="2"/>
                <w:sz w:val="21"/>
                <w:szCs w:val="21"/>
              </w:rPr>
            </w:pPr>
            <w:r>
              <w:rPr>
                <w:rFonts w:hint="eastAsia" w:ascii="宋体" w:hAnsi="宋体"/>
                <w:snapToGrid/>
                <w:color w:val="auto"/>
                <w:spacing w:val="0"/>
                <w:kern w:val="2"/>
                <w:sz w:val="21"/>
                <w:szCs w:val="21"/>
              </w:rPr>
              <w:t>自合同签订之日起</w:t>
            </w:r>
            <w:r>
              <w:rPr>
                <w:rFonts w:hint="eastAsia" w:ascii="宋体" w:hAnsi="宋体"/>
                <w:snapToGrid/>
                <w:color w:val="auto"/>
                <w:spacing w:val="0"/>
                <w:kern w:val="2"/>
                <w:sz w:val="21"/>
                <w:szCs w:val="21"/>
                <w:lang w:eastAsia="zh-CN"/>
              </w:rPr>
              <w:t>一</w:t>
            </w:r>
            <w:r>
              <w:rPr>
                <w:rFonts w:hint="eastAsia" w:ascii="宋体" w:hAnsi="宋体"/>
                <w:snapToGrid/>
                <w:color w:val="auto"/>
                <w:spacing w:val="0"/>
                <w:kern w:val="2"/>
                <w:sz w:val="21"/>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6225" w:type="dxa"/>
            <w:noWrap w:val="0"/>
            <w:vAlign w:val="center"/>
          </w:tcPr>
          <w:p>
            <w:pPr>
              <w:spacing w:line="380" w:lineRule="exact"/>
              <w:rPr>
                <w:rFonts w:ascii="宋体"/>
                <w:bCs/>
                <w:color w:val="auto"/>
                <w:sz w:val="21"/>
                <w:szCs w:val="21"/>
              </w:rPr>
            </w:pPr>
            <w:r>
              <w:rPr>
                <w:rFonts w:hint="eastAsia" w:ascii="宋体"/>
                <w:bCs/>
                <w:color w:val="auto"/>
                <w:sz w:val="21"/>
                <w:szCs w:val="21"/>
              </w:rPr>
              <w:t>蔬菜类</w:t>
            </w:r>
            <w:r>
              <w:rPr>
                <w:rFonts w:hint="eastAsia" w:ascii="宋体"/>
                <w:bCs/>
                <w:color w:val="auto"/>
                <w:sz w:val="21"/>
                <w:szCs w:val="21"/>
                <w:lang w:eastAsia="zh-CN"/>
              </w:rPr>
              <w:t>：</w:t>
            </w:r>
            <w:r>
              <w:rPr>
                <w:rFonts w:hint="eastAsia" w:ascii="宋体"/>
                <w:bCs/>
                <w:color w:val="auto"/>
                <w:sz w:val="21"/>
                <w:szCs w:val="21"/>
              </w:rPr>
              <w:t>青菜、瓜类、玉米、地瓜、土豆、豆制品等</w:t>
            </w:r>
          </w:p>
        </w:tc>
        <w:tc>
          <w:tcPr>
            <w:tcW w:w="1600"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c>
          <w:tcPr>
            <w:tcW w:w="1679"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6225" w:type="dxa"/>
            <w:noWrap w:val="0"/>
            <w:vAlign w:val="center"/>
          </w:tcPr>
          <w:p>
            <w:pPr>
              <w:spacing w:line="380" w:lineRule="exact"/>
              <w:rPr>
                <w:rFonts w:ascii="宋体"/>
                <w:bCs/>
                <w:color w:val="auto"/>
                <w:sz w:val="21"/>
                <w:szCs w:val="21"/>
              </w:rPr>
            </w:pPr>
            <w:r>
              <w:rPr>
                <w:rFonts w:hint="eastAsia"/>
                <w:bCs/>
                <w:color w:val="auto"/>
                <w:sz w:val="21"/>
                <w:szCs w:val="21"/>
              </w:rPr>
              <w:t>食用大米</w:t>
            </w:r>
            <w:r>
              <w:rPr>
                <w:rFonts w:hint="eastAsia"/>
                <w:bCs/>
                <w:color w:val="auto"/>
                <w:sz w:val="21"/>
                <w:szCs w:val="21"/>
                <w:lang w:eastAsia="zh-CN"/>
              </w:rPr>
              <w:t>：</w:t>
            </w:r>
            <w:r>
              <w:rPr>
                <w:rFonts w:hint="eastAsia"/>
                <w:bCs/>
                <w:color w:val="auto"/>
                <w:sz w:val="21"/>
                <w:szCs w:val="21"/>
              </w:rPr>
              <w:t>（包含</w:t>
            </w:r>
            <w:r>
              <w:rPr>
                <w:bCs/>
                <w:color w:val="auto"/>
                <w:sz w:val="21"/>
                <w:szCs w:val="21"/>
              </w:rPr>
              <w:t>一般大米及优质大米</w:t>
            </w:r>
            <w:r>
              <w:rPr>
                <w:rFonts w:hint="eastAsia"/>
                <w:bCs/>
                <w:color w:val="auto"/>
                <w:sz w:val="21"/>
                <w:szCs w:val="21"/>
                <w:lang w:eastAsia="zh-CN"/>
              </w:rPr>
              <w:t>、杂粮类等</w:t>
            </w:r>
            <w:r>
              <w:rPr>
                <w:rFonts w:hint="eastAsia" w:ascii="宋体"/>
                <w:bCs/>
                <w:color w:val="auto"/>
                <w:sz w:val="21"/>
                <w:szCs w:val="21"/>
              </w:rPr>
              <w:t>）</w:t>
            </w:r>
          </w:p>
        </w:tc>
        <w:tc>
          <w:tcPr>
            <w:tcW w:w="1600"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c>
          <w:tcPr>
            <w:tcW w:w="1679"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6225" w:type="dxa"/>
            <w:noWrap w:val="0"/>
            <w:vAlign w:val="center"/>
          </w:tcPr>
          <w:p>
            <w:pPr>
              <w:spacing w:line="380" w:lineRule="exact"/>
              <w:rPr>
                <w:rFonts w:hint="eastAsia" w:ascii="宋体"/>
                <w:bCs/>
                <w:color w:val="auto"/>
                <w:sz w:val="21"/>
                <w:szCs w:val="21"/>
                <w:lang w:eastAsia="zh-CN"/>
              </w:rPr>
            </w:pPr>
            <w:r>
              <w:rPr>
                <w:rFonts w:hint="eastAsia"/>
                <w:bCs/>
                <w:color w:val="auto"/>
                <w:sz w:val="21"/>
                <w:szCs w:val="21"/>
              </w:rPr>
              <w:t>食用</w:t>
            </w:r>
            <w:r>
              <w:rPr>
                <w:bCs/>
                <w:color w:val="auto"/>
                <w:sz w:val="21"/>
                <w:szCs w:val="21"/>
              </w:rPr>
              <w:t>油</w:t>
            </w:r>
            <w:r>
              <w:rPr>
                <w:rFonts w:hint="eastAsia"/>
                <w:bCs/>
                <w:color w:val="auto"/>
                <w:sz w:val="21"/>
                <w:szCs w:val="21"/>
                <w:lang w:eastAsia="zh-CN"/>
              </w:rPr>
              <w:t>：</w:t>
            </w:r>
            <w:r>
              <w:rPr>
                <w:rFonts w:hint="eastAsia"/>
                <w:bCs/>
                <w:color w:val="auto"/>
                <w:sz w:val="21"/>
                <w:szCs w:val="21"/>
              </w:rPr>
              <w:t>（包含</w:t>
            </w:r>
            <w:r>
              <w:rPr>
                <w:bCs/>
                <w:color w:val="auto"/>
                <w:sz w:val="21"/>
                <w:szCs w:val="21"/>
              </w:rPr>
              <w:t>花生油及调和油</w:t>
            </w:r>
            <w:r>
              <w:rPr>
                <w:rFonts w:hint="eastAsia"/>
                <w:bCs/>
                <w:color w:val="auto"/>
                <w:sz w:val="21"/>
                <w:szCs w:val="21"/>
              </w:rPr>
              <w:t>）</w:t>
            </w:r>
          </w:p>
        </w:tc>
        <w:tc>
          <w:tcPr>
            <w:tcW w:w="1600"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c>
          <w:tcPr>
            <w:tcW w:w="1679"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6225" w:type="dxa"/>
            <w:noWrap w:val="0"/>
            <w:vAlign w:val="center"/>
          </w:tcPr>
          <w:p>
            <w:pPr>
              <w:spacing w:line="380" w:lineRule="exact"/>
              <w:rPr>
                <w:rFonts w:hint="eastAsia" w:ascii="宋体"/>
                <w:bCs/>
                <w:color w:val="auto"/>
                <w:sz w:val="21"/>
                <w:szCs w:val="21"/>
                <w:lang w:eastAsia="zh-CN"/>
              </w:rPr>
            </w:pPr>
            <w:r>
              <w:rPr>
                <w:rFonts w:hint="eastAsia" w:ascii="宋体"/>
                <w:bCs/>
                <w:color w:val="auto"/>
                <w:sz w:val="21"/>
                <w:szCs w:val="21"/>
                <w:lang w:eastAsia="zh-CN"/>
              </w:rPr>
              <w:t>杂项类：调味料、干货</w:t>
            </w:r>
            <w:r>
              <w:rPr>
                <w:rFonts w:hint="eastAsia" w:ascii="宋体"/>
                <w:bCs/>
                <w:color w:val="auto"/>
                <w:sz w:val="21"/>
                <w:szCs w:val="21"/>
              </w:rPr>
              <w:t>面（</w:t>
            </w:r>
            <w:r>
              <w:rPr>
                <w:rFonts w:hint="eastAsia"/>
                <w:bCs/>
                <w:color w:val="auto"/>
                <w:sz w:val="21"/>
                <w:szCs w:val="21"/>
              </w:rPr>
              <w:t>包含面粉、面条</w:t>
            </w:r>
            <w:r>
              <w:rPr>
                <w:rFonts w:hint="eastAsia" w:ascii="宋体"/>
                <w:bCs/>
                <w:color w:val="auto"/>
                <w:sz w:val="21"/>
                <w:szCs w:val="21"/>
              </w:rPr>
              <w:t>）</w:t>
            </w:r>
            <w:r>
              <w:rPr>
                <w:rFonts w:hint="eastAsia" w:ascii="宋体"/>
                <w:bCs/>
                <w:color w:val="auto"/>
                <w:sz w:val="21"/>
                <w:szCs w:val="21"/>
                <w:lang w:eastAsia="zh-CN"/>
              </w:rPr>
              <w:t>、</w:t>
            </w:r>
            <w:r>
              <w:rPr>
                <w:rFonts w:hint="eastAsia"/>
                <w:bCs/>
                <w:color w:val="auto"/>
                <w:sz w:val="21"/>
                <w:szCs w:val="21"/>
                <w:lang w:eastAsia="zh-CN"/>
              </w:rPr>
              <w:t>杂粮类等</w:t>
            </w:r>
          </w:p>
        </w:tc>
        <w:tc>
          <w:tcPr>
            <w:tcW w:w="1600"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c>
          <w:tcPr>
            <w:tcW w:w="1679"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6225" w:type="dxa"/>
            <w:noWrap w:val="0"/>
            <w:vAlign w:val="center"/>
          </w:tcPr>
          <w:p>
            <w:pPr>
              <w:spacing w:line="380" w:lineRule="exact"/>
              <w:rPr>
                <w:rFonts w:hint="eastAsia" w:ascii="宋体" w:eastAsia="宋体"/>
                <w:bCs/>
                <w:color w:val="auto"/>
                <w:sz w:val="21"/>
                <w:szCs w:val="21"/>
                <w:lang w:eastAsia="zh-CN"/>
              </w:rPr>
            </w:pPr>
            <w:r>
              <w:rPr>
                <w:rFonts w:hint="eastAsia" w:ascii="宋体"/>
                <w:bCs/>
                <w:color w:val="auto"/>
                <w:sz w:val="21"/>
                <w:szCs w:val="21"/>
                <w:lang w:eastAsia="zh-CN"/>
              </w:rPr>
              <w:t>糕点类：面包、</w:t>
            </w:r>
            <w:r>
              <w:rPr>
                <w:rFonts w:hint="eastAsia" w:ascii="宋体"/>
                <w:bCs/>
                <w:color w:val="auto"/>
                <w:sz w:val="21"/>
                <w:szCs w:val="21"/>
              </w:rPr>
              <w:t>蛋糕</w:t>
            </w:r>
            <w:r>
              <w:rPr>
                <w:rFonts w:hint="eastAsia" w:ascii="宋体"/>
                <w:bCs/>
                <w:color w:val="auto"/>
                <w:sz w:val="21"/>
                <w:szCs w:val="21"/>
                <w:lang w:eastAsia="zh-CN"/>
              </w:rPr>
              <w:t>等</w:t>
            </w:r>
          </w:p>
        </w:tc>
        <w:tc>
          <w:tcPr>
            <w:tcW w:w="1600"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c>
          <w:tcPr>
            <w:tcW w:w="1679"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6225" w:type="dxa"/>
            <w:noWrap w:val="0"/>
            <w:vAlign w:val="center"/>
          </w:tcPr>
          <w:p>
            <w:pPr>
              <w:spacing w:line="380" w:lineRule="exact"/>
              <w:rPr>
                <w:rFonts w:hint="eastAsia" w:ascii="宋体" w:eastAsia="宋体"/>
                <w:bCs/>
                <w:color w:val="auto"/>
                <w:sz w:val="21"/>
                <w:szCs w:val="21"/>
                <w:lang w:eastAsia="zh-CN"/>
              </w:rPr>
            </w:pPr>
            <w:r>
              <w:rPr>
                <w:rFonts w:hint="eastAsia" w:ascii="宋体"/>
                <w:bCs/>
                <w:color w:val="auto"/>
                <w:sz w:val="21"/>
                <w:szCs w:val="21"/>
                <w:lang w:eastAsia="zh-CN"/>
              </w:rPr>
              <w:t>一次性快餐盒、一次性食品胶袋等。</w:t>
            </w:r>
          </w:p>
        </w:tc>
        <w:tc>
          <w:tcPr>
            <w:tcW w:w="1600"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c>
          <w:tcPr>
            <w:tcW w:w="1679" w:type="dxa"/>
            <w:vMerge w:val="continue"/>
            <w:noWrap w:val="0"/>
            <w:vAlign w:val="center"/>
          </w:tcPr>
          <w:p>
            <w:pPr>
              <w:tabs>
                <w:tab w:val="left" w:pos="567"/>
              </w:tabs>
              <w:spacing w:line="380" w:lineRule="exact"/>
              <w:ind w:left="425"/>
              <w:jc w:val="center"/>
              <w:rPr>
                <w:rFonts w:hint="eastAsia" w:ascii="宋体" w:hAnsi="宋体" w:cs="宋体"/>
                <w:color w:val="auto"/>
                <w:sz w:val="21"/>
                <w:szCs w:val="21"/>
              </w:rPr>
            </w:pPr>
          </w:p>
        </w:tc>
      </w:tr>
    </w:tbl>
    <w:p>
      <w:pPr>
        <w:pStyle w:val="3"/>
        <w:spacing w:before="0" w:after="0" w:line="380" w:lineRule="exact"/>
        <w:jc w:val="both"/>
        <w:rPr>
          <w:rFonts w:hint="eastAsia"/>
          <w:color w:val="auto"/>
        </w:rPr>
      </w:pPr>
      <w:r>
        <w:rPr>
          <w:rFonts w:hint="eastAsia" w:ascii="宋体" w:hAnsi="宋体"/>
          <w:bCs/>
          <w:color w:val="auto"/>
          <w:sz w:val="21"/>
          <w:szCs w:val="21"/>
        </w:rPr>
        <w:t>备</w:t>
      </w:r>
      <w:r>
        <w:rPr>
          <w:rFonts w:hint="eastAsia" w:ascii="宋体" w:hAnsi="宋体" w:cs="宋体"/>
          <w:color w:val="auto"/>
          <w:sz w:val="21"/>
          <w:szCs w:val="21"/>
        </w:rPr>
        <w:t>注：</w:t>
      </w:r>
    </w:p>
    <w:p>
      <w:pPr>
        <w:tabs>
          <w:tab w:val="left" w:pos="360"/>
          <w:tab w:val="left" w:pos="709"/>
        </w:tabs>
        <w:spacing w:line="380" w:lineRule="exact"/>
        <w:ind w:left="425"/>
        <w:rPr>
          <w:rFonts w:hint="eastAsia" w:ascii="宋体" w:hAnsi="宋体" w:cs="宋体"/>
          <w:color w:val="auto"/>
          <w:sz w:val="21"/>
          <w:szCs w:val="21"/>
        </w:rPr>
      </w:pPr>
      <w:r>
        <w:rPr>
          <w:rFonts w:hint="eastAsia" w:ascii="宋体" w:hAnsi="宋体" w:cs="宋体"/>
          <w:color w:val="auto"/>
          <w:sz w:val="21"/>
          <w:szCs w:val="21"/>
        </w:rPr>
        <w:t>1.投标人应对项目所有的内容进行投标，不允许只对其中部分内容进行投标。</w:t>
      </w:r>
    </w:p>
    <w:p>
      <w:pPr>
        <w:tabs>
          <w:tab w:val="left" w:pos="360"/>
          <w:tab w:val="left" w:pos="709"/>
        </w:tabs>
        <w:spacing w:line="380" w:lineRule="exact"/>
        <w:ind w:left="425"/>
        <w:rPr>
          <w:rFonts w:hint="eastAsia" w:ascii="宋体" w:hAnsi="宋体" w:cs="宋体"/>
          <w:color w:val="auto"/>
          <w:sz w:val="21"/>
          <w:szCs w:val="21"/>
        </w:rPr>
      </w:pPr>
      <w:r>
        <w:rPr>
          <w:rFonts w:hint="eastAsia" w:ascii="宋体" w:hAnsi="宋体" w:cs="宋体"/>
          <w:color w:val="auto"/>
          <w:sz w:val="21"/>
          <w:szCs w:val="21"/>
          <w:lang w:val="en-US" w:eastAsia="zh-CN"/>
        </w:rPr>
        <w:t>2</w:t>
      </w:r>
      <w:r>
        <w:rPr>
          <w:rFonts w:hint="eastAsia" w:ascii="宋体" w:hAnsi="宋体" w:cs="宋体"/>
          <w:color w:val="auto"/>
          <w:sz w:val="21"/>
          <w:szCs w:val="21"/>
        </w:rPr>
        <w:t>.本项目投标报价为下浮率报价(如投标下浮率报价为10%，则供货价为90%)。</w:t>
      </w:r>
    </w:p>
    <w:p>
      <w:pPr>
        <w:tabs>
          <w:tab w:val="left" w:pos="3210"/>
        </w:tabs>
        <w:spacing w:line="380" w:lineRule="exact"/>
        <w:ind w:firstLine="420" w:firstLineChars="200"/>
        <w:rPr>
          <w:rFonts w:hint="eastAsia" w:ascii="宋体" w:hAnsi="宋体" w:cs="宋体"/>
          <w:b/>
          <w:bCs/>
          <w:color w:val="auto"/>
          <w:sz w:val="21"/>
          <w:szCs w:val="21"/>
          <w:highlight w:val="none"/>
        </w:rPr>
      </w:pPr>
      <w:r>
        <w:rPr>
          <w:rFonts w:hint="eastAsia" w:ascii="宋体" w:hAnsi="宋体" w:cs="宋体"/>
          <w:color w:val="auto"/>
          <w:sz w:val="21"/>
          <w:szCs w:val="21"/>
          <w:lang w:val="en-US" w:eastAsia="zh-CN"/>
        </w:rPr>
        <w:t>3</w:t>
      </w:r>
      <w:r>
        <w:rPr>
          <w:rFonts w:hint="eastAsia" w:ascii="宋体" w:hAnsi="宋体" w:cs="宋体"/>
          <w:color w:val="auto"/>
          <w:sz w:val="21"/>
          <w:szCs w:val="21"/>
        </w:rPr>
        <w:t>.</w:t>
      </w:r>
      <w:r>
        <w:rPr>
          <w:rFonts w:hint="eastAsia" w:hAnsi="宋体" w:cs="Arial"/>
          <w:color w:val="auto"/>
          <w:sz w:val="21"/>
          <w:szCs w:val="21"/>
        </w:rPr>
        <w:t>投标报价</w:t>
      </w:r>
      <w:r>
        <w:rPr>
          <w:rFonts w:hint="eastAsia" w:ascii="宋体" w:hAnsi="宋体" w:cs="宋体"/>
          <w:color w:val="auto"/>
          <w:sz w:val="21"/>
          <w:szCs w:val="21"/>
        </w:rPr>
        <w:t>下浮率须为固</w:t>
      </w:r>
      <w:r>
        <w:rPr>
          <w:rFonts w:hint="eastAsia" w:hAnsi="宋体" w:eastAsia="宋体" w:cs="Arial"/>
          <w:color w:val="auto"/>
          <w:sz w:val="21"/>
          <w:szCs w:val="21"/>
        </w:rPr>
        <w:t>定</w:t>
      </w:r>
      <w:r>
        <w:rPr>
          <w:rFonts w:hint="eastAsia" w:hAnsi="宋体" w:eastAsia="宋体" w:cs="Arial"/>
          <w:color w:val="auto"/>
          <w:sz w:val="21"/>
          <w:szCs w:val="21"/>
          <w:highlight w:val="none"/>
        </w:rPr>
        <w:t>值（精确至小数点后两位数字）。肉类的下浮率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rPr>
        <w:t>10.</w:t>
      </w:r>
      <w:r>
        <w:rPr>
          <w:rFonts w:hint="eastAsia" w:hAnsi="宋体" w:eastAsia="宋体" w:cs="Arial"/>
          <w:color w:val="auto"/>
          <w:sz w:val="21"/>
          <w:szCs w:val="21"/>
          <w:highlight w:val="none"/>
          <w:lang w:val="en-US" w:eastAsia="zh-CN"/>
        </w:rPr>
        <w:t>3</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w:t>
      </w:r>
      <w:r>
        <w:rPr>
          <w:rFonts w:hint="eastAsia" w:hAnsi="宋体" w:eastAsia="宋体" w:cs="Arial"/>
          <w:color w:val="auto"/>
          <w:sz w:val="21"/>
          <w:szCs w:val="21"/>
          <w:highlight w:val="none"/>
        </w:rPr>
        <w:t>蔬菜类下浮率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rPr>
        <w:t>10.</w:t>
      </w:r>
      <w:r>
        <w:rPr>
          <w:rFonts w:hint="eastAsia" w:hAnsi="宋体" w:eastAsia="宋体" w:cs="Arial"/>
          <w:color w:val="auto"/>
          <w:sz w:val="21"/>
          <w:szCs w:val="21"/>
          <w:highlight w:val="none"/>
          <w:lang w:val="en-US" w:eastAsia="zh-CN"/>
        </w:rPr>
        <w:t>2</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w:t>
      </w:r>
      <w:r>
        <w:rPr>
          <w:rFonts w:hint="eastAsia" w:hAnsi="宋体" w:eastAsia="宋体" w:cs="Arial"/>
          <w:color w:val="auto"/>
          <w:sz w:val="21"/>
          <w:szCs w:val="21"/>
          <w:highlight w:val="none"/>
        </w:rPr>
        <w:t>食用油的下浮率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rPr>
        <w:t>1</w:t>
      </w:r>
      <w:r>
        <w:rPr>
          <w:rFonts w:hint="eastAsia" w:hAnsi="宋体" w:eastAsia="宋体" w:cs="Arial"/>
          <w:color w:val="auto"/>
          <w:sz w:val="21"/>
          <w:szCs w:val="21"/>
          <w:highlight w:val="none"/>
          <w:lang w:val="en-US" w:eastAsia="zh-CN"/>
        </w:rPr>
        <w:t>.2</w:t>
      </w:r>
      <w:r>
        <w:rPr>
          <w:rFonts w:hint="eastAsia" w:hAnsi="宋体" w:eastAsia="宋体" w:cs="Arial"/>
          <w:color w:val="auto"/>
          <w:sz w:val="21"/>
          <w:szCs w:val="21"/>
          <w:highlight w:val="none"/>
        </w:rPr>
        <w:t>%，食用大米的下浮率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lang w:val="en-US" w:eastAsia="zh-CN"/>
        </w:rPr>
        <w:t>2.55</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w:t>
      </w:r>
      <w:r>
        <w:rPr>
          <w:rFonts w:hint="eastAsia" w:hAnsi="宋体" w:eastAsia="宋体" w:cs="Arial"/>
          <w:color w:val="auto"/>
          <w:sz w:val="21"/>
          <w:szCs w:val="21"/>
          <w:highlight w:val="none"/>
        </w:rPr>
        <w:t>杂项类的下浮率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lang w:val="en-US" w:eastAsia="zh-CN"/>
        </w:rPr>
        <w:t>1.2</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，面包、蛋糕类</w:t>
      </w:r>
      <w:r>
        <w:rPr>
          <w:rFonts w:hint="eastAsia" w:hAnsi="宋体" w:eastAsia="宋体" w:cs="Arial"/>
          <w:color w:val="auto"/>
          <w:sz w:val="21"/>
          <w:szCs w:val="21"/>
          <w:highlight w:val="none"/>
        </w:rPr>
        <w:t>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lang w:val="en-US" w:eastAsia="zh-CN"/>
        </w:rPr>
        <w:t>11</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，一次性快餐盒类</w:t>
      </w:r>
      <w:r>
        <w:rPr>
          <w:rFonts w:hint="eastAsia" w:hAnsi="宋体" w:eastAsia="宋体" w:cs="Arial"/>
          <w:color w:val="auto"/>
          <w:sz w:val="21"/>
          <w:szCs w:val="21"/>
          <w:highlight w:val="none"/>
        </w:rPr>
        <w:t>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lang w:val="en-US" w:eastAsia="zh-CN"/>
        </w:rPr>
        <w:t>5.0</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。面包、</w:t>
      </w:r>
      <w:r>
        <w:rPr>
          <w:rFonts w:hint="eastAsia" w:hAnsi="宋体" w:eastAsia="宋体" w:cs="Arial"/>
          <w:color w:val="auto"/>
          <w:sz w:val="21"/>
          <w:szCs w:val="21"/>
          <w:highlight w:val="none"/>
        </w:rPr>
        <w:t>蛋糕类的下浮率必须高于1</w:t>
      </w:r>
      <w:r>
        <w:rPr>
          <w:rFonts w:hint="eastAsia" w:hAnsi="宋体" w:eastAsia="宋体" w:cs="Arial"/>
          <w:color w:val="auto"/>
          <w:sz w:val="21"/>
          <w:szCs w:val="21"/>
          <w:highlight w:val="none"/>
          <w:lang w:val="en-US" w:eastAsia="zh-CN"/>
        </w:rPr>
        <w:t>1</w:t>
      </w:r>
      <w:r>
        <w:rPr>
          <w:rFonts w:hint="eastAsia" w:hAnsi="宋体" w:eastAsia="宋体" w:cs="Arial"/>
          <w:color w:val="auto"/>
          <w:sz w:val="21"/>
          <w:szCs w:val="21"/>
          <w:highlight w:val="none"/>
        </w:rPr>
        <w:t>%且不设定上限标准。若肉类投标报价下浮率大于</w:t>
      </w:r>
      <w:r>
        <w:rPr>
          <w:rFonts w:hint="eastAsia" w:hAnsi="宋体" w:eastAsia="宋体" w:cs="Arial"/>
          <w:color w:val="auto"/>
          <w:sz w:val="21"/>
          <w:szCs w:val="21"/>
          <w:highlight w:val="none"/>
          <w:lang w:val="en-US" w:eastAsia="zh-CN"/>
        </w:rPr>
        <w:t>25</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，粮油类、</w:t>
      </w:r>
      <w:r>
        <w:rPr>
          <w:rFonts w:hint="eastAsia" w:hAnsi="宋体" w:eastAsia="宋体" w:cs="Arial"/>
          <w:color w:val="auto"/>
          <w:sz w:val="21"/>
          <w:szCs w:val="21"/>
        </w:rPr>
        <w:t>杂项类投标报价下浮率大于</w:t>
      </w:r>
      <w:r>
        <w:rPr>
          <w:rFonts w:hint="eastAsia" w:hAnsi="宋体" w:eastAsia="宋体" w:cs="Arial"/>
          <w:color w:val="auto"/>
          <w:sz w:val="21"/>
          <w:szCs w:val="21"/>
          <w:lang w:val="en-US" w:eastAsia="zh-CN"/>
        </w:rPr>
        <w:t>15</w:t>
      </w:r>
      <w:r>
        <w:rPr>
          <w:rFonts w:hint="eastAsia" w:hAnsi="宋体" w:eastAsia="宋体" w:cs="Arial"/>
          <w:color w:val="auto"/>
          <w:sz w:val="21"/>
          <w:szCs w:val="21"/>
        </w:rPr>
        <w:t>%的，投标人</w:t>
      </w:r>
      <w:r>
        <w:rPr>
          <w:rFonts w:hint="eastAsia" w:ascii="宋体" w:hAnsi="宋体" w:cs="宋体"/>
          <w:color w:val="auto"/>
          <w:sz w:val="21"/>
          <w:szCs w:val="21"/>
        </w:rPr>
        <w:t>须在投标文件中提交由第三方出具有效的依据，内容必须包含：投标人的成本及利润分析等内容，否则按无效投标处理。</w:t>
      </w:r>
      <w:r>
        <w:rPr>
          <w:rFonts w:hint="eastAsia" w:ascii="宋体" w:hAnsi="宋体" w:cs="宋体"/>
          <w:color w:val="auto"/>
          <w:sz w:val="21"/>
          <w:szCs w:val="21"/>
          <w:lang w:eastAsia="zh-CN"/>
        </w:rPr>
        <w:t>（</w:t>
      </w:r>
      <w:r>
        <w:rPr>
          <w:rFonts w:hint="eastAsia" w:ascii="宋体" w:hAnsi="宋体" w:cs="宋体"/>
          <w:color w:val="auto"/>
          <w:sz w:val="21"/>
          <w:szCs w:val="21"/>
          <w:highlight w:val="none"/>
          <w:lang w:eastAsia="zh-CN"/>
        </w:rPr>
        <w:t>注：花生油类、杂项类的价格以三大市场的调查价格均价为基础下浮，</w:t>
      </w:r>
      <w:r>
        <w:rPr>
          <w:rFonts w:hint="eastAsia" w:hAnsi="宋体" w:cs="宋体"/>
          <w:bCs/>
          <w:color w:val="auto"/>
          <w:sz w:val="21"/>
          <w:szCs w:val="21"/>
          <w:highlight w:val="none"/>
        </w:rPr>
        <w:t>肉类</w:t>
      </w:r>
      <w:r>
        <w:rPr>
          <w:rFonts w:hint="eastAsia" w:hAnsi="宋体" w:cs="宋体"/>
          <w:bCs/>
          <w:color w:val="auto"/>
          <w:sz w:val="21"/>
          <w:szCs w:val="21"/>
          <w:highlight w:val="none"/>
          <w:lang w:eastAsia="zh-CN"/>
        </w:rPr>
        <w:t>、</w:t>
      </w:r>
      <w:r>
        <w:rPr>
          <w:rFonts w:hint="eastAsia" w:hAnsi="宋体"/>
          <w:color w:val="auto"/>
          <w:sz w:val="21"/>
          <w:szCs w:val="21"/>
          <w:highlight w:val="none"/>
        </w:rPr>
        <w:t>蔬菜类</w:t>
      </w:r>
      <w:r>
        <w:rPr>
          <w:rFonts w:hint="eastAsia" w:hAnsi="宋体"/>
          <w:color w:val="auto"/>
          <w:sz w:val="21"/>
          <w:szCs w:val="21"/>
          <w:highlight w:val="none"/>
          <w:lang w:eastAsia="zh-CN"/>
        </w:rPr>
        <w:t>、</w:t>
      </w:r>
      <w:r>
        <w:rPr>
          <w:rFonts w:hint="eastAsia"/>
          <w:bCs/>
          <w:color w:val="auto"/>
          <w:sz w:val="21"/>
          <w:szCs w:val="21"/>
          <w:highlight w:val="none"/>
        </w:rPr>
        <w:t>食用大米</w:t>
      </w:r>
      <w:r>
        <w:rPr>
          <w:rFonts w:hint="eastAsia" w:ascii="宋体"/>
          <w:bCs/>
          <w:color w:val="auto"/>
          <w:sz w:val="21"/>
          <w:szCs w:val="21"/>
          <w:highlight w:val="none"/>
          <w:lang w:eastAsia="zh-CN"/>
        </w:rPr>
        <w:t>、一次性快餐盒</w:t>
      </w:r>
      <w:r>
        <w:rPr>
          <w:rFonts w:hint="eastAsia" w:ascii="宋体" w:hAnsi="宋体" w:cs="宋体"/>
          <w:color w:val="auto"/>
          <w:sz w:val="21"/>
          <w:szCs w:val="21"/>
          <w:highlight w:val="none"/>
          <w:lang w:eastAsia="zh-CN"/>
        </w:rPr>
        <w:t>的价格以三大超市的调查价格均价为基础下浮</w:t>
      </w:r>
      <w:r>
        <w:rPr>
          <w:rFonts w:hint="eastAsia" w:hAnsi="宋体" w:cs="宋体"/>
          <w:bCs/>
          <w:color w:val="auto"/>
          <w:sz w:val="21"/>
          <w:szCs w:val="21"/>
          <w:highlight w:val="none"/>
          <w:lang w:eastAsia="zh-CN"/>
        </w:rPr>
        <w:t>，面包、蛋糕类的价格以当地品牌</w:t>
      </w:r>
      <w:r>
        <w:rPr>
          <w:rFonts w:hint="eastAsia" w:ascii="宋体" w:hAnsi="宋体" w:cs="宋体"/>
          <w:color w:val="auto"/>
          <w:sz w:val="21"/>
          <w:szCs w:val="21"/>
          <w:highlight w:val="none"/>
          <w:lang w:eastAsia="zh-CN"/>
        </w:rPr>
        <w:t>的面包、蛋糕调查价格为</w:t>
      </w:r>
      <w:r>
        <w:rPr>
          <w:rFonts w:hint="eastAsia" w:hAnsi="宋体" w:cs="宋体"/>
          <w:bCs/>
          <w:color w:val="auto"/>
          <w:sz w:val="21"/>
          <w:szCs w:val="21"/>
          <w:highlight w:val="none"/>
          <w:lang w:eastAsia="zh-CN"/>
        </w:rPr>
        <w:t>基础</w:t>
      </w:r>
      <w:r>
        <w:rPr>
          <w:rFonts w:hint="eastAsia" w:ascii="宋体" w:hAnsi="宋体" w:cs="宋体"/>
          <w:color w:val="auto"/>
          <w:sz w:val="21"/>
          <w:szCs w:val="21"/>
          <w:highlight w:val="none"/>
          <w:lang w:eastAsia="zh-CN"/>
        </w:rPr>
        <w:t>下浮）</w:t>
      </w:r>
    </w:p>
    <w:p>
      <w:pPr>
        <w:pStyle w:val="356"/>
        <w:ind w:firstLine="420"/>
        <w:rPr>
          <w:rFonts w:hint="eastAsia" w:ascii="宋体" w:hAnsi="宋体" w:eastAsia="宋体" w:cs="宋体"/>
          <w:bCs/>
          <w:color w:val="auto"/>
          <w:sz w:val="21"/>
          <w:szCs w:val="21"/>
          <w:highlight w:val="none"/>
          <w:lang w:eastAsia="zh-CN"/>
        </w:rPr>
      </w:pPr>
    </w:p>
    <w:p>
      <w:pPr>
        <w:pStyle w:val="4"/>
        <w:numPr>
          <w:ilvl w:val="0"/>
          <w:numId w:val="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采购范围</w:t>
      </w:r>
      <w:r>
        <w:rPr>
          <w:rFonts w:hint="eastAsia" w:ascii="宋体" w:hAnsi="宋体" w:cs="宋体"/>
          <w:color w:val="auto"/>
          <w:sz w:val="21"/>
          <w:szCs w:val="21"/>
          <w:highlight w:val="none"/>
          <w:lang w:val="en-US" w:eastAsia="zh-CN"/>
        </w:rPr>
        <w:t>及相关要求</w:t>
      </w:r>
      <w:r>
        <w:rPr>
          <w:rFonts w:hint="eastAsia" w:ascii="宋体" w:hAnsi="宋体" w:eastAsia="宋体" w:cs="宋体"/>
          <w:color w:val="auto"/>
          <w:sz w:val="21"/>
          <w:szCs w:val="21"/>
          <w:highlight w:val="none"/>
        </w:rPr>
        <w:t>：</w:t>
      </w:r>
    </w:p>
    <w:p>
      <w:pPr>
        <w:numPr>
          <w:ilvl w:val="0"/>
          <w:numId w:val="0"/>
        </w:numPr>
        <w:rPr>
          <w:rFonts w:hint="eastAsia" w:eastAsia="宋体"/>
          <w:b/>
          <w:bCs/>
          <w:color w:val="auto"/>
          <w:lang w:eastAsia="zh-CN"/>
        </w:rPr>
      </w:pPr>
      <w:r>
        <w:rPr>
          <w:rFonts w:hint="eastAsia"/>
          <w:b/>
          <w:bCs/>
          <w:color w:val="auto"/>
          <w:lang w:eastAsia="zh-CN"/>
        </w:rPr>
        <w:t>（</w:t>
      </w:r>
      <w:r>
        <w:rPr>
          <w:rFonts w:hint="eastAsia"/>
          <w:b/>
          <w:bCs/>
          <w:color w:val="auto"/>
          <w:lang w:val="en-US" w:eastAsia="zh-CN"/>
        </w:rPr>
        <w:t>一</w:t>
      </w:r>
      <w:r>
        <w:rPr>
          <w:rFonts w:hint="eastAsia"/>
          <w:b/>
          <w:bCs/>
          <w:color w:val="auto"/>
          <w:lang w:eastAsia="zh-CN"/>
        </w:rPr>
        <w:t>）</w:t>
      </w:r>
      <w:r>
        <w:rPr>
          <w:rFonts w:hint="eastAsia" w:ascii="宋体" w:hAnsi="宋体" w:cs="宋体"/>
          <w:b/>
          <w:bCs/>
          <w:color w:val="auto"/>
          <w:sz w:val="21"/>
          <w:szCs w:val="21"/>
          <w:highlight w:val="none"/>
          <w:lang w:eastAsia="zh-CN"/>
        </w:rPr>
        <w:t>供货要求</w:t>
      </w:r>
    </w:p>
    <w:p>
      <w:pPr>
        <w:pStyle w:val="23"/>
        <w:numPr>
          <w:ilvl w:val="0"/>
          <w:numId w:val="10"/>
        </w:numPr>
        <w:tabs>
          <w:tab w:val="left" w:pos="2340"/>
        </w:tabs>
        <w:spacing w:line="380" w:lineRule="exact"/>
        <w:rPr>
          <w:rFonts w:hint="eastAsia" w:hAnsi="宋体" w:cs="宋体"/>
          <w:color w:val="auto"/>
          <w:sz w:val="21"/>
        </w:rPr>
      </w:pPr>
      <w:r>
        <w:rPr>
          <w:rFonts w:hint="eastAsia" w:hAnsi="宋体" w:cs="宋体"/>
          <w:color w:val="auto"/>
          <w:sz w:val="21"/>
        </w:rPr>
        <w:t>采购方需要配送的食品品种、品牌、规格每月初确定给</w:t>
      </w:r>
      <w:r>
        <w:rPr>
          <w:rFonts w:hint="eastAsia" w:hAnsi="宋体" w:eastAsia="宋体" w:cs="宋体"/>
          <w:color w:val="auto"/>
          <w:sz w:val="21"/>
          <w:lang w:val="en-US" w:eastAsia="zh-CN"/>
        </w:rPr>
        <w:t>成交人</w:t>
      </w:r>
      <w:r>
        <w:rPr>
          <w:rFonts w:hint="eastAsia" w:hAnsi="宋体" w:cs="宋体"/>
          <w:color w:val="auto"/>
          <w:sz w:val="21"/>
        </w:rPr>
        <w:t>，双方以此作为询价的依据。</w:t>
      </w:r>
      <w:r>
        <w:rPr>
          <w:rFonts w:hint="eastAsia" w:hAnsi="宋体" w:eastAsia="宋体" w:cs="宋体"/>
          <w:color w:val="auto"/>
          <w:sz w:val="21"/>
          <w:lang w:val="en-US" w:eastAsia="zh-CN"/>
        </w:rPr>
        <w:t>成交方</w:t>
      </w:r>
      <w:r>
        <w:rPr>
          <w:rFonts w:hint="eastAsia" w:hAnsi="宋体" w:cs="宋体"/>
          <w:color w:val="auto"/>
          <w:sz w:val="21"/>
        </w:rPr>
        <w:t>不能擅自更换。否则，采购人有权拒收。如因市场流通问题确实需要变更的，应书面向采购人申请。</w:t>
      </w:r>
    </w:p>
    <w:p>
      <w:pPr>
        <w:pStyle w:val="23"/>
        <w:numPr>
          <w:ilvl w:val="0"/>
          <w:numId w:val="10"/>
        </w:numPr>
        <w:tabs>
          <w:tab w:val="left" w:pos="2340"/>
        </w:tabs>
        <w:spacing w:line="380" w:lineRule="exact"/>
        <w:rPr>
          <w:rFonts w:hint="eastAsia" w:hAnsi="宋体" w:cs="宋体"/>
          <w:color w:val="auto"/>
          <w:sz w:val="21"/>
        </w:rPr>
      </w:pPr>
      <w:r>
        <w:rPr>
          <w:rFonts w:hint="eastAsia" w:hAnsi="宋体" w:eastAsia="宋体" w:cs="宋体"/>
          <w:color w:val="auto"/>
          <w:sz w:val="21"/>
          <w:lang w:val="en-US" w:eastAsia="zh-CN"/>
        </w:rPr>
        <w:t>成交人</w:t>
      </w:r>
      <w:r>
        <w:rPr>
          <w:rFonts w:hint="eastAsia" w:hAnsi="宋体" w:cs="宋体"/>
          <w:color w:val="auto"/>
          <w:sz w:val="21"/>
        </w:rPr>
        <w:t>必须负责中标食品材料的采购、运输、搬运、青菜质量检测等工，特别是肉类及</w:t>
      </w:r>
      <w:r>
        <w:rPr>
          <w:rFonts w:hint="eastAsia"/>
          <w:bCs/>
          <w:color w:val="auto"/>
          <w:sz w:val="21"/>
        </w:rPr>
        <w:t>蔬菜类</w:t>
      </w:r>
      <w:r>
        <w:rPr>
          <w:rFonts w:hint="eastAsia" w:hAnsi="宋体" w:eastAsia="宋体" w:cs="宋体"/>
          <w:color w:val="auto"/>
          <w:sz w:val="21"/>
          <w:lang w:val="en-US" w:eastAsia="zh-CN"/>
        </w:rPr>
        <w:t>成交方</w:t>
      </w:r>
      <w:r>
        <w:rPr>
          <w:rFonts w:hint="eastAsia"/>
          <w:bCs/>
          <w:color w:val="auto"/>
          <w:sz w:val="21"/>
        </w:rPr>
        <w:t>需协助采购方进行粗加工处理（例如肉类清洗后切成小块，蔬菜初步清洗切段）</w:t>
      </w:r>
      <w:r>
        <w:rPr>
          <w:rFonts w:hint="eastAsia" w:hAnsi="宋体" w:cs="宋体"/>
          <w:color w:val="auto"/>
          <w:sz w:val="21"/>
        </w:rPr>
        <w:t>所产生的费用由</w:t>
      </w:r>
      <w:r>
        <w:rPr>
          <w:rFonts w:hint="eastAsia" w:hAnsi="宋体" w:eastAsia="宋体" w:cs="宋体"/>
          <w:color w:val="auto"/>
          <w:sz w:val="21"/>
          <w:lang w:val="en-US" w:eastAsia="zh-CN"/>
        </w:rPr>
        <w:t>成交人</w:t>
      </w:r>
      <w:r>
        <w:rPr>
          <w:rFonts w:hint="eastAsia" w:hAnsi="宋体" w:cs="宋体"/>
          <w:color w:val="auto"/>
          <w:sz w:val="21"/>
        </w:rPr>
        <w:t>负责。</w:t>
      </w:r>
      <w:r>
        <w:rPr>
          <w:rFonts w:hint="eastAsia" w:hAnsi="宋体" w:eastAsia="宋体" w:cs="宋体"/>
          <w:color w:val="auto"/>
          <w:sz w:val="21"/>
          <w:lang w:val="en-US" w:eastAsia="zh-CN"/>
        </w:rPr>
        <w:t>成交人</w:t>
      </w:r>
      <w:r>
        <w:rPr>
          <w:rFonts w:hint="eastAsia" w:hAnsi="宋体" w:cs="宋体"/>
          <w:color w:val="auto"/>
          <w:sz w:val="21"/>
        </w:rPr>
        <w:t>所送的每批食品材料必须提供相应的质量检测报告。如有需要，采购人有权对</w:t>
      </w:r>
      <w:r>
        <w:rPr>
          <w:rFonts w:hint="eastAsia" w:hAnsi="宋体" w:eastAsia="宋体" w:cs="宋体"/>
          <w:color w:val="auto"/>
          <w:sz w:val="21"/>
          <w:lang w:val="en-US" w:eastAsia="zh-CN"/>
        </w:rPr>
        <w:t>成交人</w:t>
      </w:r>
      <w:r>
        <w:rPr>
          <w:rFonts w:hint="eastAsia" w:hAnsi="宋体" w:cs="宋体"/>
          <w:color w:val="auto"/>
          <w:sz w:val="21"/>
        </w:rPr>
        <w:t>所供应的食品材料委托有资质的质检部门检测。如检测结果达标，检测费用由采购人支付。如检测结果不达标的，费用由</w:t>
      </w:r>
      <w:r>
        <w:rPr>
          <w:rFonts w:hint="eastAsia" w:hAnsi="宋体" w:eastAsia="宋体" w:cs="宋体"/>
          <w:color w:val="auto"/>
          <w:sz w:val="21"/>
          <w:lang w:val="en-US" w:eastAsia="zh-CN"/>
        </w:rPr>
        <w:t>成交人</w:t>
      </w:r>
      <w:r>
        <w:rPr>
          <w:rFonts w:hint="eastAsia" w:hAnsi="宋体" w:cs="宋体"/>
          <w:color w:val="auto"/>
          <w:sz w:val="21"/>
        </w:rPr>
        <w:t>负责。并采购人有权追讨由此而引起的所有责任，检测两次不合格的，可终止其供应资格。</w:t>
      </w:r>
    </w:p>
    <w:p>
      <w:pPr>
        <w:pStyle w:val="23"/>
        <w:numPr>
          <w:ilvl w:val="0"/>
          <w:numId w:val="10"/>
        </w:numPr>
        <w:tabs>
          <w:tab w:val="left" w:pos="2340"/>
        </w:tabs>
        <w:spacing w:line="380" w:lineRule="exact"/>
        <w:rPr>
          <w:rFonts w:hint="eastAsia" w:hAnsi="宋体" w:cs="宋体"/>
          <w:color w:val="auto"/>
          <w:sz w:val="21"/>
        </w:rPr>
      </w:pPr>
      <w:r>
        <w:rPr>
          <w:rFonts w:hint="eastAsia" w:hAnsi="宋体" w:cs="宋体"/>
          <w:color w:val="auto"/>
          <w:sz w:val="21"/>
        </w:rPr>
        <w:t>采购品种及需求量以采购方实际供应前一天的通知为准，采购人有权根据实际需要调整食品材料的品种和数量。</w:t>
      </w:r>
    </w:p>
    <w:p>
      <w:pPr>
        <w:pStyle w:val="23"/>
        <w:numPr>
          <w:ilvl w:val="0"/>
          <w:numId w:val="10"/>
        </w:numPr>
        <w:tabs>
          <w:tab w:val="left" w:pos="2340"/>
        </w:tabs>
        <w:spacing w:line="380" w:lineRule="exact"/>
        <w:rPr>
          <w:rFonts w:hint="eastAsia" w:hAnsi="宋体" w:cs="宋体"/>
          <w:color w:val="auto"/>
          <w:sz w:val="21"/>
        </w:rPr>
      </w:pPr>
      <w:r>
        <w:rPr>
          <w:rFonts w:hint="eastAsia" w:hAnsi="宋体" w:eastAsia="宋体" w:cs="宋体"/>
          <w:color w:val="auto"/>
          <w:sz w:val="21"/>
          <w:lang w:val="en-US" w:eastAsia="zh-CN"/>
        </w:rPr>
        <w:t>成交人</w:t>
      </w:r>
      <w:r>
        <w:rPr>
          <w:rFonts w:hint="eastAsia" w:hAnsi="宋体" w:cs="宋体"/>
          <w:color w:val="auto"/>
          <w:sz w:val="21"/>
        </w:rPr>
        <w:t>不得将中标项目转包、分包，否则采购人有权单方终止合同，由此产生的一切经济损失由</w:t>
      </w:r>
      <w:r>
        <w:rPr>
          <w:rFonts w:hint="eastAsia" w:hAnsi="宋体" w:eastAsia="宋体" w:cs="宋体"/>
          <w:color w:val="auto"/>
          <w:sz w:val="21"/>
          <w:lang w:val="en-US" w:eastAsia="zh-CN"/>
        </w:rPr>
        <w:t>成交人</w:t>
      </w:r>
      <w:r>
        <w:rPr>
          <w:rFonts w:hint="eastAsia" w:hAnsi="宋体" w:cs="宋体"/>
          <w:color w:val="auto"/>
          <w:sz w:val="21"/>
        </w:rPr>
        <w:t>自行承担。</w:t>
      </w:r>
    </w:p>
    <w:p>
      <w:pPr>
        <w:pStyle w:val="23"/>
        <w:numPr>
          <w:ilvl w:val="0"/>
          <w:numId w:val="10"/>
        </w:numPr>
        <w:tabs>
          <w:tab w:val="left" w:pos="2340"/>
        </w:tabs>
        <w:spacing w:line="380" w:lineRule="exact"/>
        <w:rPr>
          <w:rFonts w:hint="eastAsia" w:hAnsi="宋体" w:cs="宋体"/>
          <w:color w:val="auto"/>
          <w:sz w:val="21"/>
        </w:rPr>
      </w:pPr>
      <w:r>
        <w:rPr>
          <w:rFonts w:hint="eastAsia" w:hAnsi="宋体" w:cs="宋体"/>
          <w:color w:val="auto"/>
          <w:sz w:val="21"/>
        </w:rPr>
        <w:t>由于采购人工作的特殊性，</w:t>
      </w:r>
      <w:r>
        <w:rPr>
          <w:rFonts w:hint="eastAsia" w:hAnsi="宋体" w:eastAsia="宋体" w:cs="宋体"/>
          <w:color w:val="auto"/>
          <w:sz w:val="21"/>
          <w:lang w:val="en-US" w:eastAsia="zh-CN"/>
        </w:rPr>
        <w:t>成交人</w:t>
      </w:r>
      <w:r>
        <w:rPr>
          <w:rFonts w:hint="eastAsia" w:hAnsi="宋体" w:cs="宋体"/>
          <w:color w:val="auto"/>
          <w:sz w:val="21"/>
        </w:rPr>
        <w:t>应做好本单位工作人员的培训、教育工作，遵守采购人各项规定。</w:t>
      </w:r>
    </w:p>
    <w:p>
      <w:pPr>
        <w:pStyle w:val="23"/>
        <w:numPr>
          <w:ilvl w:val="0"/>
          <w:numId w:val="10"/>
        </w:numPr>
        <w:tabs>
          <w:tab w:val="left" w:pos="2340"/>
        </w:tabs>
        <w:spacing w:line="380" w:lineRule="exact"/>
        <w:rPr>
          <w:rFonts w:hint="eastAsia" w:hAnsi="宋体" w:cs="宋体"/>
          <w:color w:val="auto"/>
          <w:sz w:val="21"/>
        </w:rPr>
      </w:pPr>
      <w:r>
        <w:rPr>
          <w:rFonts w:hint="eastAsia" w:hAnsi="宋体" w:eastAsia="宋体" w:cs="宋体"/>
          <w:color w:val="auto"/>
          <w:sz w:val="21"/>
          <w:lang w:val="en-US" w:eastAsia="zh-CN"/>
        </w:rPr>
        <w:t>成交人</w:t>
      </w:r>
      <w:r>
        <w:rPr>
          <w:rFonts w:hint="eastAsia" w:hAnsi="宋体" w:cs="宋体"/>
          <w:color w:val="auto"/>
          <w:sz w:val="21"/>
        </w:rPr>
        <w:t>除不可抗力外，不得以任何理由延迟送货。采购人如遇特殊情况需提前或推迟送货，应提前一天通知</w:t>
      </w:r>
      <w:r>
        <w:rPr>
          <w:rFonts w:hint="eastAsia" w:hAnsi="宋体" w:eastAsia="宋体" w:cs="宋体"/>
          <w:color w:val="auto"/>
          <w:sz w:val="21"/>
          <w:lang w:val="en-US" w:eastAsia="zh-CN"/>
        </w:rPr>
        <w:t>成交人</w:t>
      </w:r>
      <w:r>
        <w:rPr>
          <w:rFonts w:hint="eastAsia" w:hAnsi="宋体" w:cs="宋体"/>
          <w:color w:val="auto"/>
          <w:sz w:val="21"/>
        </w:rPr>
        <w:t>。</w:t>
      </w:r>
    </w:p>
    <w:p>
      <w:pPr>
        <w:pStyle w:val="23"/>
        <w:numPr>
          <w:ilvl w:val="0"/>
          <w:numId w:val="10"/>
        </w:numPr>
        <w:tabs>
          <w:tab w:val="left" w:pos="2340"/>
        </w:tabs>
        <w:spacing w:line="380" w:lineRule="exact"/>
        <w:rPr>
          <w:rFonts w:hint="eastAsia" w:hAnsi="宋体" w:cs="宋体"/>
          <w:color w:val="auto"/>
          <w:sz w:val="21"/>
        </w:rPr>
      </w:pPr>
      <w:r>
        <w:rPr>
          <w:rFonts w:hint="eastAsia" w:hAnsi="宋体" w:cs="宋体"/>
          <w:color w:val="auto"/>
          <w:sz w:val="21"/>
        </w:rPr>
        <w:t>采购人将按招标文件及</w:t>
      </w:r>
      <w:r>
        <w:rPr>
          <w:rFonts w:hint="eastAsia" w:hAnsi="宋体" w:eastAsia="宋体" w:cs="宋体"/>
          <w:color w:val="auto"/>
          <w:sz w:val="21"/>
          <w:lang w:val="en-US" w:eastAsia="zh-CN"/>
        </w:rPr>
        <w:t>成交方</w:t>
      </w:r>
      <w:r>
        <w:rPr>
          <w:rFonts w:hint="eastAsia" w:hAnsi="宋体" w:cs="宋体"/>
          <w:color w:val="auto"/>
          <w:sz w:val="21"/>
        </w:rPr>
        <w:t>投标文件响应的各种类食品所描述的具体质量要求，对商品进行认真验收，对不符合要求的商品，</w:t>
      </w:r>
      <w:r>
        <w:rPr>
          <w:rFonts w:hint="eastAsia" w:hAnsi="宋体" w:eastAsia="宋体" w:cs="宋体"/>
          <w:color w:val="auto"/>
          <w:sz w:val="21"/>
          <w:lang w:val="en-US" w:eastAsia="zh-CN"/>
        </w:rPr>
        <w:t>成交人</w:t>
      </w:r>
      <w:r>
        <w:rPr>
          <w:rFonts w:hint="eastAsia" w:hAnsi="宋体" w:cs="宋体"/>
          <w:color w:val="auto"/>
          <w:sz w:val="21"/>
        </w:rPr>
        <w:t>必须无条件换货。</w:t>
      </w:r>
    </w:p>
    <w:p>
      <w:pPr>
        <w:pStyle w:val="23"/>
        <w:numPr>
          <w:ilvl w:val="0"/>
          <w:numId w:val="10"/>
        </w:numPr>
        <w:tabs>
          <w:tab w:val="left" w:pos="2340"/>
        </w:tabs>
        <w:spacing w:line="380" w:lineRule="exact"/>
        <w:rPr>
          <w:rFonts w:hint="eastAsia" w:hAnsi="宋体" w:cs="宋体"/>
          <w:color w:val="auto"/>
          <w:sz w:val="21"/>
        </w:rPr>
      </w:pPr>
      <w:r>
        <w:rPr>
          <w:rFonts w:hint="eastAsia" w:hAnsi="宋体" w:eastAsia="宋体" w:cs="宋体"/>
          <w:color w:val="auto"/>
          <w:sz w:val="21"/>
          <w:lang w:val="en-US" w:eastAsia="zh-CN"/>
        </w:rPr>
        <w:t>成交人</w:t>
      </w:r>
      <w:r>
        <w:rPr>
          <w:rFonts w:hint="eastAsia" w:hAnsi="宋体" w:cs="宋体"/>
          <w:color w:val="auto"/>
          <w:sz w:val="21"/>
        </w:rPr>
        <w:t>未能履行招标文件、投标文件和合同所定事项,交付的货物验收不合格，要求</w:t>
      </w:r>
      <w:r>
        <w:rPr>
          <w:rFonts w:hint="eastAsia" w:hAnsi="宋体" w:eastAsia="宋体" w:cs="宋体"/>
          <w:color w:val="auto"/>
          <w:sz w:val="21"/>
          <w:lang w:val="en-US" w:eastAsia="zh-CN"/>
        </w:rPr>
        <w:t>成交人</w:t>
      </w:r>
      <w:r>
        <w:rPr>
          <w:rFonts w:hint="eastAsia" w:hAnsi="宋体" w:cs="宋体"/>
          <w:color w:val="auto"/>
          <w:sz w:val="21"/>
        </w:rPr>
        <w:t>在1小时内完成换货。</w:t>
      </w:r>
    </w:p>
    <w:p>
      <w:pPr>
        <w:pStyle w:val="23"/>
        <w:numPr>
          <w:ilvl w:val="0"/>
          <w:numId w:val="10"/>
        </w:numPr>
        <w:tabs>
          <w:tab w:val="left" w:pos="2340"/>
        </w:tabs>
        <w:spacing w:line="380" w:lineRule="exact"/>
        <w:rPr>
          <w:rFonts w:hint="eastAsia" w:hAnsi="宋体" w:cs="宋体"/>
          <w:color w:val="auto"/>
          <w:sz w:val="21"/>
        </w:rPr>
      </w:pPr>
      <w:r>
        <w:rPr>
          <w:rFonts w:hint="eastAsia" w:hAnsi="宋体" w:eastAsia="宋体" w:cs="宋体"/>
          <w:color w:val="auto"/>
          <w:sz w:val="21"/>
          <w:lang w:val="en-US" w:eastAsia="zh-CN"/>
        </w:rPr>
        <w:t>成交方</w:t>
      </w:r>
      <w:r>
        <w:rPr>
          <w:rFonts w:hint="eastAsia" w:hAnsi="宋体" w:cs="宋体"/>
          <w:color w:val="auto"/>
          <w:sz w:val="21"/>
          <w:highlight w:val="none"/>
        </w:rPr>
        <w:t>供应假冒伪劣、以次充好的商品，除立即更换外，以不予支付本批货物货款作为处罚，由此产生的一切赔偿及相关法律责任由</w:t>
      </w:r>
      <w:r>
        <w:rPr>
          <w:rFonts w:hint="eastAsia" w:hAnsi="宋体" w:eastAsia="宋体" w:cs="宋体"/>
          <w:color w:val="auto"/>
          <w:sz w:val="21"/>
          <w:highlight w:val="none"/>
          <w:lang w:val="en-US" w:eastAsia="zh-CN"/>
        </w:rPr>
        <w:t>成交</w:t>
      </w:r>
      <w:r>
        <w:rPr>
          <w:rFonts w:hint="eastAsia" w:hAnsi="宋体" w:cs="宋体"/>
          <w:color w:val="auto"/>
          <w:sz w:val="21"/>
          <w:highlight w:val="none"/>
        </w:rPr>
        <w:t>方承担。</w:t>
      </w:r>
      <w:r>
        <w:rPr>
          <w:rFonts w:hint="eastAsia" w:hAnsi="宋体" w:cs="宋体"/>
          <w:color w:val="auto"/>
          <w:sz w:val="21"/>
        </w:rPr>
        <w:t>采购人将事件记录在案，同一个月份内同类问题发生达到2次，采购人可单方面终止合同取消其供应资格。一年合同期内累计达到5次或以上，今后将作为不合格供应商列入黑名单，不能参加采购人今后任何的招标采购活动。</w:t>
      </w:r>
    </w:p>
    <w:p>
      <w:pPr>
        <w:pStyle w:val="23"/>
        <w:numPr>
          <w:ilvl w:val="0"/>
          <w:numId w:val="10"/>
        </w:numPr>
        <w:tabs>
          <w:tab w:val="left" w:pos="2340"/>
        </w:tabs>
        <w:spacing w:line="380" w:lineRule="exact"/>
        <w:rPr>
          <w:rFonts w:hint="eastAsia" w:hAnsi="宋体" w:cs="宋体"/>
          <w:color w:val="auto"/>
          <w:sz w:val="21"/>
        </w:rPr>
      </w:pPr>
      <w:r>
        <w:rPr>
          <w:rFonts w:hint="eastAsia" w:hAnsi="宋体" w:eastAsia="宋体" w:cs="宋体"/>
          <w:color w:val="auto"/>
          <w:sz w:val="21"/>
          <w:lang w:val="en-US" w:eastAsia="zh-CN"/>
        </w:rPr>
        <w:t>成交人</w:t>
      </w:r>
      <w:r>
        <w:rPr>
          <w:rFonts w:hint="eastAsia" w:hAnsi="宋体" w:cs="宋体"/>
          <w:color w:val="auto"/>
          <w:sz w:val="21"/>
        </w:rPr>
        <w:t>须开具国家正式发票。</w:t>
      </w:r>
      <w:r>
        <w:rPr>
          <w:rFonts w:hint="eastAsia" w:hAnsi="宋体" w:eastAsia="宋体" w:cs="宋体"/>
          <w:color w:val="auto"/>
          <w:sz w:val="21"/>
          <w:lang w:val="en-US" w:eastAsia="zh-CN"/>
        </w:rPr>
        <w:t>成交人</w:t>
      </w:r>
      <w:r>
        <w:rPr>
          <w:rFonts w:hint="eastAsia" w:hAnsi="宋体" w:cs="宋体"/>
          <w:color w:val="auto"/>
          <w:sz w:val="21"/>
        </w:rPr>
        <w:t>每个月按供应商品的销售额开具完税发票。</w:t>
      </w:r>
    </w:p>
    <w:p>
      <w:pPr>
        <w:pStyle w:val="23"/>
        <w:numPr>
          <w:ilvl w:val="0"/>
          <w:numId w:val="0"/>
        </w:numPr>
        <w:tabs>
          <w:tab w:val="left" w:pos="2340"/>
        </w:tabs>
        <w:spacing w:line="360" w:lineRule="auto"/>
        <w:jc w:val="both"/>
        <w:rPr>
          <w:rFonts w:hint="eastAsia" w:hAnsi="宋体" w:eastAsia="宋体" w:cs="宋体"/>
          <w:b/>
          <w:bCs/>
          <w:color w:val="auto"/>
          <w:sz w:val="21"/>
          <w:lang w:eastAsia="zh-CN"/>
        </w:rPr>
      </w:pPr>
      <w:r>
        <w:rPr>
          <w:rFonts w:hint="eastAsia" w:hAnsi="宋体" w:eastAsia="宋体" w:cs="宋体"/>
          <w:b/>
          <w:bCs/>
          <w:color w:val="auto"/>
          <w:sz w:val="21"/>
          <w:lang w:eastAsia="zh-CN"/>
        </w:rPr>
        <w:t>（</w:t>
      </w:r>
      <w:r>
        <w:rPr>
          <w:rFonts w:hint="eastAsia" w:hAnsi="宋体" w:eastAsia="宋体" w:cs="宋体"/>
          <w:b/>
          <w:bCs/>
          <w:color w:val="auto"/>
          <w:sz w:val="21"/>
          <w:lang w:val="en-US" w:eastAsia="zh-CN"/>
        </w:rPr>
        <w:t>二</w:t>
      </w:r>
      <w:r>
        <w:rPr>
          <w:rFonts w:hint="eastAsia" w:hAnsi="宋体" w:eastAsia="宋体" w:cs="宋体"/>
          <w:b/>
          <w:bCs/>
          <w:color w:val="auto"/>
          <w:sz w:val="21"/>
          <w:lang w:eastAsia="zh-CN"/>
        </w:rPr>
        <w:t>）价格制定要求</w:t>
      </w:r>
    </w:p>
    <w:p>
      <w:pPr>
        <w:pStyle w:val="23"/>
        <w:numPr>
          <w:ilvl w:val="0"/>
          <w:numId w:val="0"/>
        </w:numPr>
        <w:tabs>
          <w:tab w:val="left" w:pos="2340"/>
        </w:tabs>
        <w:spacing w:line="360" w:lineRule="auto"/>
        <w:ind w:leftChars="0" w:firstLine="420" w:firstLineChars="200"/>
        <w:rPr>
          <w:rFonts w:hint="eastAsia" w:hAnsi="宋体" w:cs="宋体"/>
          <w:b/>
          <w:bCs/>
          <w:color w:val="auto"/>
          <w:sz w:val="21"/>
          <w:highlight w:val="none"/>
          <w:lang w:eastAsia="zh-CN"/>
        </w:rPr>
      </w:pPr>
      <w:r>
        <w:rPr>
          <w:rFonts w:hint="eastAsia" w:hAnsi="宋体" w:cs="宋体"/>
          <w:color w:val="auto"/>
          <w:sz w:val="21"/>
          <w:szCs w:val="21"/>
          <w:lang w:val="en-US" w:eastAsia="zh-CN"/>
        </w:rPr>
        <w:t>1.</w:t>
      </w:r>
      <w:r>
        <w:rPr>
          <w:rFonts w:hint="eastAsia" w:ascii="宋体" w:hAnsi="宋体" w:cs="宋体"/>
          <w:color w:val="auto"/>
          <w:sz w:val="21"/>
          <w:szCs w:val="21"/>
        </w:rPr>
        <w:t>每个品种的基准单价采集方式：每月的</w:t>
      </w:r>
      <w:r>
        <w:rPr>
          <w:rFonts w:hint="eastAsia" w:ascii="宋体" w:hAnsi="宋体" w:cs="宋体"/>
          <w:color w:val="auto"/>
          <w:sz w:val="21"/>
          <w:szCs w:val="21"/>
          <w:lang w:val="en-US" w:eastAsia="zh-CN"/>
        </w:rPr>
        <w:t>25</w:t>
      </w:r>
      <w:r>
        <w:rPr>
          <w:rFonts w:hint="eastAsia" w:ascii="宋体" w:hAnsi="宋体" w:cs="宋体"/>
          <w:color w:val="auto"/>
          <w:sz w:val="21"/>
          <w:szCs w:val="21"/>
        </w:rPr>
        <w:t>至</w:t>
      </w:r>
      <w:r>
        <w:rPr>
          <w:rFonts w:hint="eastAsia" w:ascii="宋体" w:hAnsi="宋体" w:cs="宋体"/>
          <w:color w:val="auto"/>
          <w:sz w:val="21"/>
          <w:szCs w:val="21"/>
          <w:lang w:val="en-US" w:eastAsia="zh-CN"/>
        </w:rPr>
        <w:t>30</w:t>
      </w:r>
      <w:r>
        <w:rPr>
          <w:rFonts w:hint="eastAsia" w:ascii="宋体" w:hAnsi="宋体" w:cs="宋体"/>
          <w:color w:val="auto"/>
          <w:sz w:val="21"/>
          <w:szCs w:val="21"/>
        </w:rPr>
        <w:t>日内，</w:t>
      </w:r>
      <w:r>
        <w:rPr>
          <w:rFonts w:hint="eastAsia" w:ascii="宋体" w:hAnsi="宋体" w:cs="宋体"/>
          <w:color w:val="auto"/>
          <w:sz w:val="21"/>
          <w:szCs w:val="21"/>
          <w:highlight w:val="none"/>
        </w:rPr>
        <w:t>由采购方与</w:t>
      </w:r>
      <w:r>
        <w:rPr>
          <w:rFonts w:hint="eastAsia" w:ascii="宋体" w:hAnsi="宋体" w:eastAsia="宋体" w:cs="宋体"/>
          <w:color w:val="auto"/>
          <w:sz w:val="21"/>
          <w:szCs w:val="21"/>
          <w:highlight w:val="none"/>
          <w:lang w:eastAsia="zh-CN"/>
        </w:rPr>
        <w:t>成交方</w:t>
      </w:r>
      <w:r>
        <w:rPr>
          <w:rFonts w:hint="eastAsia" w:ascii="宋体" w:hAnsi="宋体" w:cs="宋体"/>
          <w:color w:val="auto"/>
          <w:sz w:val="21"/>
          <w:szCs w:val="21"/>
          <w:highlight w:val="none"/>
        </w:rPr>
        <w:t>约定时间及每个品种的采购质量档次标准，</w:t>
      </w:r>
      <w:r>
        <w:rPr>
          <w:rFonts w:hint="eastAsia" w:ascii="宋体" w:hAnsi="宋体" w:cs="宋体"/>
          <w:color w:val="auto"/>
          <w:sz w:val="21"/>
          <w:szCs w:val="21"/>
        </w:rPr>
        <w:t>共同对三大</w:t>
      </w:r>
      <w:r>
        <w:rPr>
          <w:rFonts w:hint="eastAsia" w:ascii="宋体" w:hAnsi="宋体" w:cs="宋体"/>
          <w:color w:val="auto"/>
          <w:sz w:val="21"/>
          <w:szCs w:val="21"/>
          <w:lang w:eastAsia="zh-CN"/>
        </w:rPr>
        <w:t>超市</w:t>
      </w:r>
      <w:r>
        <w:rPr>
          <w:rFonts w:hint="eastAsia" w:hAnsi="宋体" w:cs="宋体"/>
          <w:color w:val="auto"/>
          <w:sz w:val="21"/>
          <w:szCs w:val="21"/>
          <w:lang w:eastAsia="zh-CN"/>
        </w:rPr>
        <w:t>、三大市场、</w:t>
      </w:r>
      <w:r>
        <w:rPr>
          <w:rFonts w:hint="eastAsia" w:hAnsi="宋体" w:cs="宋体"/>
          <w:bCs/>
          <w:color w:val="auto"/>
          <w:sz w:val="21"/>
          <w:szCs w:val="21"/>
          <w:highlight w:val="none"/>
          <w:lang w:eastAsia="zh-CN"/>
        </w:rPr>
        <w:t>当地品牌面包、</w:t>
      </w:r>
      <w:r>
        <w:rPr>
          <w:rFonts w:hint="eastAsia" w:hAnsi="宋体" w:cs="宋体"/>
          <w:bCs/>
          <w:color w:val="auto"/>
          <w:sz w:val="21"/>
          <w:szCs w:val="21"/>
          <w:lang w:eastAsia="zh-CN"/>
        </w:rPr>
        <w:t>蛋糕商品的相应食材进行</w:t>
      </w:r>
      <w:r>
        <w:rPr>
          <w:rFonts w:hint="eastAsia" w:ascii="宋体" w:hAnsi="宋体" w:cs="宋体"/>
          <w:color w:val="auto"/>
          <w:sz w:val="21"/>
          <w:szCs w:val="21"/>
        </w:rPr>
        <w:t>价格</w:t>
      </w:r>
      <w:r>
        <w:rPr>
          <w:rFonts w:hint="eastAsia" w:hAnsi="宋体" w:cs="宋体"/>
          <w:color w:val="auto"/>
          <w:sz w:val="21"/>
          <w:szCs w:val="21"/>
          <w:lang w:eastAsia="zh-CN"/>
        </w:rPr>
        <w:t>调查</w:t>
      </w:r>
      <w:r>
        <w:rPr>
          <w:rFonts w:hint="eastAsia" w:ascii="宋体" w:hAnsi="宋体" w:cs="宋体"/>
          <w:color w:val="auto"/>
          <w:sz w:val="21"/>
          <w:szCs w:val="21"/>
        </w:rPr>
        <w:t>咨询</w:t>
      </w:r>
      <w:r>
        <w:rPr>
          <w:rFonts w:hint="eastAsia" w:ascii="宋体" w:hAnsi="宋体" w:cs="宋体"/>
          <w:color w:val="auto"/>
          <w:sz w:val="21"/>
          <w:szCs w:val="21"/>
          <w:highlight w:val="none"/>
        </w:rPr>
        <w:t>。每个品种</w:t>
      </w:r>
      <w:r>
        <w:rPr>
          <w:rFonts w:hint="eastAsia" w:hAnsi="宋体" w:cs="宋体"/>
          <w:color w:val="auto"/>
          <w:sz w:val="21"/>
          <w:szCs w:val="21"/>
          <w:highlight w:val="none"/>
          <w:lang w:eastAsia="zh-CN"/>
        </w:rPr>
        <w:t>由三大超市或</w:t>
      </w:r>
      <w:r>
        <w:rPr>
          <w:rFonts w:hint="eastAsia" w:ascii="宋体" w:hAnsi="宋体" w:cs="宋体"/>
          <w:color w:val="auto"/>
          <w:sz w:val="21"/>
          <w:szCs w:val="21"/>
          <w:highlight w:val="none"/>
        </w:rPr>
        <w:t>三大市场的均价</w:t>
      </w:r>
      <w:r>
        <w:rPr>
          <w:rFonts w:hint="eastAsia" w:hAnsi="宋体" w:cs="宋体"/>
          <w:color w:val="auto"/>
          <w:sz w:val="21"/>
          <w:szCs w:val="21"/>
          <w:highlight w:val="none"/>
          <w:lang w:eastAsia="zh-CN"/>
        </w:rPr>
        <w:t>确定</w:t>
      </w:r>
      <w:r>
        <w:rPr>
          <w:rFonts w:hint="eastAsia" w:ascii="宋体" w:hAnsi="宋体" w:cs="宋体"/>
          <w:color w:val="auto"/>
          <w:sz w:val="21"/>
          <w:szCs w:val="21"/>
          <w:highlight w:val="none"/>
          <w:lang w:eastAsia="zh-CN"/>
        </w:rPr>
        <w:t>次月</w:t>
      </w:r>
      <w:r>
        <w:rPr>
          <w:rFonts w:hint="eastAsia" w:ascii="宋体" w:hAnsi="宋体" w:cs="宋体"/>
          <w:color w:val="auto"/>
          <w:sz w:val="21"/>
          <w:szCs w:val="21"/>
          <w:highlight w:val="none"/>
        </w:rPr>
        <w:t>的采购基准单价</w:t>
      </w:r>
      <w:r>
        <w:rPr>
          <w:rFonts w:hint="eastAsia" w:hAnsi="宋体" w:cs="宋体"/>
          <w:color w:val="auto"/>
          <w:sz w:val="21"/>
          <w:szCs w:val="21"/>
          <w:highlight w:val="none"/>
          <w:lang w:eastAsia="zh-CN"/>
        </w:rPr>
        <w:t>，面包、蛋糕类的价格由</w:t>
      </w:r>
      <w:r>
        <w:rPr>
          <w:rFonts w:hint="eastAsia" w:hAnsi="宋体" w:cs="宋体"/>
          <w:bCs/>
          <w:color w:val="auto"/>
          <w:sz w:val="21"/>
          <w:szCs w:val="21"/>
          <w:highlight w:val="none"/>
          <w:lang w:eastAsia="zh-CN"/>
        </w:rPr>
        <w:t>当地品牌面包、</w:t>
      </w:r>
      <w:r>
        <w:rPr>
          <w:rFonts w:hint="eastAsia" w:hAnsi="宋体" w:cs="宋体"/>
          <w:bCs/>
          <w:color w:val="auto"/>
          <w:sz w:val="21"/>
          <w:szCs w:val="21"/>
          <w:lang w:eastAsia="zh-CN"/>
        </w:rPr>
        <w:t>蛋糕商品价格</w:t>
      </w:r>
      <w:r>
        <w:rPr>
          <w:rFonts w:hint="eastAsia" w:hAnsi="宋体" w:cs="宋体"/>
          <w:color w:val="auto"/>
          <w:sz w:val="21"/>
          <w:szCs w:val="21"/>
          <w:highlight w:val="none"/>
          <w:lang w:eastAsia="zh-CN"/>
        </w:rPr>
        <w:t>确定</w:t>
      </w:r>
      <w:r>
        <w:rPr>
          <w:rFonts w:hint="eastAsia" w:ascii="宋体" w:hAnsi="宋体" w:cs="宋体"/>
          <w:color w:val="auto"/>
          <w:sz w:val="21"/>
          <w:szCs w:val="21"/>
          <w:highlight w:val="none"/>
          <w:lang w:eastAsia="zh-CN"/>
        </w:rPr>
        <w:t>次月</w:t>
      </w:r>
      <w:r>
        <w:rPr>
          <w:rFonts w:hint="eastAsia" w:ascii="宋体" w:hAnsi="宋体" w:cs="宋体"/>
          <w:color w:val="auto"/>
          <w:sz w:val="21"/>
          <w:szCs w:val="21"/>
          <w:highlight w:val="none"/>
        </w:rPr>
        <w:t>的采购基准单价。</w:t>
      </w:r>
    </w:p>
    <w:p>
      <w:pPr>
        <w:keepNext w:val="0"/>
        <w:keepLines w:val="0"/>
        <w:widowControl/>
        <w:suppressLineNumbers w:val="0"/>
        <w:spacing w:line="360" w:lineRule="auto"/>
        <w:ind w:firstLine="420" w:firstLineChars="200"/>
        <w:jc w:val="left"/>
        <w:rPr>
          <w:rFonts w:hint="eastAsia" w:hAnsi="宋体" w:cs="宋体"/>
          <w:color w:val="auto"/>
          <w:sz w:val="21"/>
        </w:rPr>
      </w:pPr>
      <w:r>
        <w:rPr>
          <w:rFonts w:hint="eastAsia" w:hAnsi="宋体" w:cs="宋体"/>
          <w:color w:val="auto"/>
          <w:sz w:val="21"/>
          <w:highlight w:val="none"/>
          <w:lang w:val="en-US" w:eastAsia="zh-CN"/>
        </w:rPr>
        <w:t>2.</w:t>
      </w:r>
      <w:r>
        <w:rPr>
          <w:rFonts w:hint="eastAsia" w:hAnsi="宋体" w:cs="宋体"/>
          <w:color w:val="auto"/>
          <w:sz w:val="21"/>
          <w:highlight w:val="none"/>
        </w:rPr>
        <w:t>采购方与</w:t>
      </w:r>
      <w:r>
        <w:rPr>
          <w:rFonts w:hint="eastAsia" w:hAnsi="宋体" w:cs="宋体"/>
          <w:color w:val="auto"/>
          <w:sz w:val="21"/>
          <w:highlight w:val="none"/>
          <w:lang w:eastAsia="zh-CN"/>
        </w:rPr>
        <w:t>成交方</w:t>
      </w:r>
      <w:r>
        <w:rPr>
          <w:rFonts w:hint="eastAsia" w:hAnsi="宋体" w:cs="宋体"/>
          <w:color w:val="auto"/>
          <w:sz w:val="21"/>
          <w:highlight w:val="none"/>
        </w:rPr>
        <w:t>询价的三大</w:t>
      </w:r>
      <w:r>
        <w:rPr>
          <w:rFonts w:hint="eastAsia" w:hAnsi="宋体" w:cs="宋体"/>
          <w:color w:val="auto"/>
          <w:sz w:val="21"/>
          <w:highlight w:val="none"/>
          <w:lang w:eastAsia="zh-CN"/>
        </w:rPr>
        <w:t>超市</w:t>
      </w:r>
      <w:r>
        <w:rPr>
          <w:rFonts w:hint="eastAsia" w:hAnsi="宋体" w:cs="宋体"/>
          <w:color w:val="auto"/>
          <w:sz w:val="21"/>
          <w:highlight w:val="none"/>
        </w:rPr>
        <w:t>分别为信宜</w:t>
      </w:r>
      <w:r>
        <w:rPr>
          <w:rFonts w:hint="eastAsia" w:hAnsi="宋体" w:cs="宋体"/>
          <w:color w:val="auto"/>
          <w:sz w:val="21"/>
          <w:highlight w:val="none"/>
          <w:lang w:eastAsia="zh-CN"/>
        </w:rPr>
        <w:t>市</w:t>
      </w:r>
      <w:r>
        <w:rPr>
          <w:rFonts w:hint="eastAsia" w:ascii="宋体" w:hAnsi="宋体" w:eastAsia="宋体" w:cs="宋体"/>
          <w:color w:val="auto"/>
          <w:kern w:val="0"/>
          <w:sz w:val="18"/>
          <w:szCs w:val="18"/>
          <w:lang w:val="en-US" w:eastAsia="zh-CN" w:bidi="ar"/>
        </w:rPr>
        <w:t>惠民超市（竹山店）</w:t>
      </w:r>
      <w:r>
        <w:rPr>
          <w:rFonts w:hint="eastAsia" w:hAnsi="宋体" w:cs="宋体"/>
          <w:color w:val="auto"/>
          <w:sz w:val="21"/>
        </w:rPr>
        <w:t>、</w:t>
      </w:r>
      <w:r>
        <w:rPr>
          <w:rFonts w:hint="eastAsia" w:hAnsi="宋体" w:cs="宋体"/>
          <w:color w:val="auto"/>
          <w:sz w:val="21"/>
          <w:lang w:eastAsia="zh-CN"/>
        </w:rPr>
        <w:t>兆康超市</w:t>
      </w:r>
      <w:r>
        <w:rPr>
          <w:rFonts w:hint="eastAsia" w:hAnsi="宋体" w:cs="宋体"/>
          <w:color w:val="auto"/>
          <w:sz w:val="21"/>
        </w:rPr>
        <w:t>、</w:t>
      </w:r>
      <w:r>
        <w:rPr>
          <w:rFonts w:hint="eastAsia" w:hAnsi="宋体" w:cs="宋体"/>
          <w:color w:val="auto"/>
          <w:sz w:val="21"/>
          <w:lang w:eastAsia="zh-CN"/>
        </w:rPr>
        <w:t>惠客多超市（如有大超市入驻本市经双方商讨后可将其纳入询价超市）</w:t>
      </w:r>
      <w:r>
        <w:rPr>
          <w:rFonts w:hint="eastAsia" w:hAnsi="宋体" w:cs="宋体"/>
          <w:color w:val="auto"/>
          <w:sz w:val="21"/>
        </w:rPr>
        <w:t>。</w:t>
      </w:r>
      <w:r>
        <w:rPr>
          <w:rFonts w:hint="eastAsia" w:hAnsi="宋体" w:cs="宋体"/>
          <w:color w:val="auto"/>
          <w:sz w:val="21"/>
          <w:szCs w:val="21"/>
          <w:highlight w:val="none"/>
          <w:lang w:eastAsia="zh-CN"/>
        </w:rPr>
        <w:t>三大市场为锦江市场、顺客隆市场、玉都市场。</w:t>
      </w:r>
    </w:p>
    <w:p>
      <w:pPr>
        <w:pStyle w:val="23"/>
        <w:numPr>
          <w:ilvl w:val="0"/>
          <w:numId w:val="0"/>
        </w:numPr>
        <w:tabs>
          <w:tab w:val="left" w:pos="2340"/>
        </w:tabs>
        <w:spacing w:line="360" w:lineRule="auto"/>
        <w:ind w:firstLine="420" w:firstLineChars="200"/>
        <w:rPr>
          <w:rFonts w:hint="eastAsia" w:hAnsi="宋体" w:eastAsia="宋体" w:cs="宋体"/>
          <w:color w:val="auto"/>
          <w:sz w:val="21"/>
          <w:highlight w:val="none"/>
          <w:lang w:val="en-US" w:eastAsia="zh-CN"/>
        </w:rPr>
      </w:pPr>
      <w:r>
        <w:rPr>
          <w:rFonts w:hint="eastAsia" w:hAnsi="宋体" w:cs="宋体"/>
          <w:color w:val="auto"/>
          <w:sz w:val="21"/>
          <w:highlight w:val="none"/>
          <w:lang w:val="en-US" w:eastAsia="zh-CN"/>
        </w:rPr>
        <w:t>3.超市询价由监督委员人员、厨房工作人员、财务人员、供应商方各3人组成，以抽签形式分配需询价超市，每超市每方人员各一名，由监管小组记录，厨房工作人员、财务人员询价或拍照，供应方旁听。（每月抽签后勤科主任组织）</w:t>
      </w:r>
    </w:p>
    <w:p>
      <w:pPr>
        <w:pStyle w:val="23"/>
        <w:numPr>
          <w:ilvl w:val="0"/>
          <w:numId w:val="0"/>
        </w:numPr>
        <w:tabs>
          <w:tab w:val="left" w:pos="2340"/>
        </w:tabs>
        <w:spacing w:line="360" w:lineRule="auto"/>
        <w:ind w:firstLine="420" w:firstLineChars="200"/>
        <w:rPr>
          <w:rFonts w:hint="eastAsia" w:hAnsi="宋体" w:cs="宋体"/>
          <w:color w:val="auto"/>
          <w:sz w:val="21"/>
        </w:rPr>
      </w:pPr>
      <w:r>
        <w:rPr>
          <w:rFonts w:hint="eastAsia" w:hAnsi="宋体" w:cs="宋体"/>
          <w:color w:val="auto"/>
          <w:sz w:val="21"/>
          <w:highlight w:val="none"/>
          <w:lang w:val="en-US" w:eastAsia="zh-CN"/>
        </w:rPr>
        <w:t>4.</w:t>
      </w:r>
      <w:r>
        <w:rPr>
          <w:rFonts w:hint="eastAsia" w:hAnsi="宋体" w:cs="宋体"/>
          <w:color w:val="auto"/>
          <w:sz w:val="21"/>
          <w:highlight w:val="none"/>
          <w:lang w:eastAsia="zh-CN"/>
        </w:rPr>
        <w:t>询价为四方人员双方对所询价格有异议时，均可提出进行复询。</w:t>
      </w:r>
    </w:p>
    <w:p>
      <w:pPr>
        <w:numPr>
          <w:ilvl w:val="0"/>
          <w:numId w:val="0"/>
        </w:numPr>
        <w:spacing w:line="380" w:lineRule="exact"/>
        <w:ind w:leftChars="0"/>
        <w:rPr>
          <w:rFonts w:hint="eastAsia" w:ascii="宋体" w:hAnsi="宋体" w:cs="宋体"/>
          <w:b/>
          <w:bCs/>
          <w:color w:val="auto"/>
          <w:sz w:val="21"/>
          <w:szCs w:val="21"/>
        </w:rPr>
      </w:pPr>
      <w:r>
        <w:rPr>
          <w:rFonts w:hint="eastAsia" w:hAnsi="宋体" w:eastAsia="宋体" w:cs="宋体"/>
          <w:color w:val="auto"/>
          <w:sz w:val="21"/>
          <w:lang w:eastAsia="zh-CN"/>
        </w:rPr>
        <w:t>（</w:t>
      </w:r>
      <w:r>
        <w:rPr>
          <w:rFonts w:hint="eastAsia" w:hAnsi="宋体" w:eastAsia="宋体" w:cs="宋体"/>
          <w:color w:val="auto"/>
          <w:sz w:val="21"/>
          <w:lang w:val="en-US" w:eastAsia="zh-CN"/>
        </w:rPr>
        <w:t>三</w:t>
      </w:r>
      <w:r>
        <w:rPr>
          <w:rFonts w:hint="eastAsia" w:hAnsi="宋体" w:eastAsia="宋体" w:cs="宋体"/>
          <w:color w:val="auto"/>
          <w:sz w:val="21"/>
          <w:lang w:eastAsia="zh-CN"/>
        </w:rPr>
        <w:t>）</w:t>
      </w:r>
      <w:r>
        <w:rPr>
          <w:rFonts w:hint="eastAsia" w:ascii="宋体" w:hAnsi="宋体" w:cs="宋体"/>
          <w:b/>
          <w:bCs/>
          <w:color w:val="auto"/>
          <w:sz w:val="21"/>
          <w:szCs w:val="21"/>
        </w:rPr>
        <w:t>具体要求</w:t>
      </w:r>
    </w:p>
    <w:p>
      <w:pPr>
        <w:pStyle w:val="23"/>
        <w:numPr>
          <w:ilvl w:val="0"/>
          <w:numId w:val="11"/>
        </w:numPr>
        <w:tabs>
          <w:tab w:val="left" w:pos="2340"/>
        </w:tabs>
        <w:spacing w:line="380" w:lineRule="exact"/>
        <w:rPr>
          <w:rFonts w:hint="eastAsia" w:hAnsi="宋体" w:cs="宋体"/>
          <w:b/>
          <w:bCs/>
          <w:color w:val="auto"/>
          <w:sz w:val="21"/>
        </w:rPr>
      </w:pPr>
      <w:r>
        <w:rPr>
          <w:rFonts w:hint="eastAsia" w:hAnsi="宋体" w:cs="宋体"/>
          <w:b/>
          <w:bCs/>
          <w:color w:val="auto"/>
          <w:sz w:val="21"/>
        </w:rPr>
        <w:t>菜类要求</w:t>
      </w:r>
    </w:p>
    <w:p>
      <w:pPr>
        <w:pStyle w:val="23"/>
        <w:numPr>
          <w:ilvl w:val="0"/>
          <w:numId w:val="0"/>
        </w:numPr>
        <w:tabs>
          <w:tab w:val="left" w:pos="2340"/>
        </w:tabs>
        <w:spacing w:line="380" w:lineRule="exact"/>
        <w:ind w:firstLine="420" w:firstLineChars="200"/>
        <w:rPr>
          <w:rFonts w:hint="eastAsia" w:hAnsi="宋体" w:cs="宋体"/>
          <w:color w:val="auto"/>
          <w:sz w:val="21"/>
        </w:rPr>
      </w:pPr>
      <w:r>
        <w:rPr>
          <w:rFonts w:hint="default" w:ascii="宋体" w:hAnsi="宋体" w:eastAsia="宋体" w:cs="宋体"/>
          <w:b w:val="0"/>
          <w:color w:val="auto"/>
          <w:kern w:val="2"/>
          <w:sz w:val="21"/>
          <w:szCs w:val="21"/>
          <w:lang w:val="en-US" w:eastAsia="zh-CN" w:bidi="ar-SA"/>
        </w:rPr>
        <w:t>1.1</w:t>
      </w:r>
      <w:r>
        <w:rPr>
          <w:rFonts w:hint="eastAsia" w:hAnsi="宋体" w:cs="宋体"/>
          <w:color w:val="auto"/>
          <w:sz w:val="21"/>
        </w:rPr>
        <w:t>供应产品的质量要求：辅料、佐料类必须为正规厂家的产品，瓜、果、蔬菜必须是优质货品，</w:t>
      </w:r>
      <w:r>
        <w:rPr>
          <w:rFonts w:hint="eastAsia" w:hAnsi="宋体" w:eastAsia="宋体" w:cs="宋体"/>
          <w:color w:val="auto"/>
          <w:sz w:val="21"/>
          <w:lang w:eastAsia="zh-CN"/>
        </w:rPr>
        <w:t>成交人</w:t>
      </w:r>
      <w:r>
        <w:rPr>
          <w:rFonts w:hint="eastAsia" w:hAnsi="宋体" w:cs="宋体"/>
          <w:color w:val="auto"/>
          <w:sz w:val="21"/>
        </w:rPr>
        <w:t>必须保证所供应的产品符合相应的食品安全标准要求，同时承担因所供的产品问题引起的一切事故后果。蔬菜类安全指标应符合我国无公害蔬菜的食品安全指标。</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340"/>
        <w:gridCol w:w="4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b/>
                <w:color w:val="auto"/>
                <w:sz w:val="21"/>
              </w:rPr>
            </w:pPr>
            <w:r>
              <w:rPr>
                <w:rFonts w:hint="eastAsia" w:hAnsi="宋体" w:cs="宋体"/>
                <w:b/>
                <w:color w:val="auto"/>
                <w:sz w:val="21"/>
              </w:rPr>
              <w:t>项目</w:t>
            </w:r>
          </w:p>
        </w:tc>
        <w:tc>
          <w:tcPr>
            <w:tcW w:w="4219" w:type="dxa"/>
            <w:noWrap w:val="0"/>
            <w:vAlign w:val="center"/>
          </w:tcPr>
          <w:p>
            <w:pPr>
              <w:pStyle w:val="23"/>
              <w:tabs>
                <w:tab w:val="left" w:pos="2340"/>
              </w:tabs>
              <w:spacing w:line="380" w:lineRule="exact"/>
              <w:jc w:val="center"/>
              <w:rPr>
                <w:rFonts w:hint="eastAsia" w:hAnsi="宋体" w:cs="宋体"/>
                <w:b/>
                <w:color w:val="auto"/>
                <w:sz w:val="21"/>
              </w:rPr>
            </w:pPr>
            <w:r>
              <w:rPr>
                <w:rFonts w:hint="eastAsia" w:hAnsi="宋体" w:cs="宋体"/>
                <w:b/>
                <w:color w:val="auto"/>
                <w:sz w:val="21"/>
              </w:rPr>
              <w:t>指标（mg/kg）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甲胺磷</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甲拌磷</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氧化乐果</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甲基对硫磷</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呋喃丹</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百菌清</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多菌灵</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汞（以Hg计）</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铅（以Pb计）</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砷（以As计）</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氟（以F计）</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硝酸盐（以NaNO3计）</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瓜果类≤600；叶菜根茎类≤1200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340"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亚硝酸盐（以NaNO2计）</w:t>
            </w:r>
          </w:p>
        </w:tc>
        <w:tc>
          <w:tcPr>
            <w:tcW w:w="4219" w:type="dxa"/>
            <w:noWrap w:val="0"/>
            <w:vAlign w:val="center"/>
          </w:tcPr>
          <w:p>
            <w:pPr>
              <w:pStyle w:val="23"/>
              <w:tabs>
                <w:tab w:val="left" w:pos="2340"/>
              </w:tabs>
              <w:spacing w:line="380" w:lineRule="exact"/>
              <w:jc w:val="center"/>
              <w:rPr>
                <w:rFonts w:hint="eastAsia" w:hAnsi="宋体" w:cs="宋体"/>
                <w:color w:val="auto"/>
                <w:sz w:val="21"/>
              </w:rPr>
            </w:pPr>
            <w:r>
              <w:rPr>
                <w:rFonts w:hint="eastAsia" w:hAnsi="宋体" w:cs="宋体"/>
                <w:color w:val="auto"/>
                <w:sz w:val="21"/>
              </w:rPr>
              <w:t>≤4</w:t>
            </w:r>
          </w:p>
        </w:tc>
      </w:tr>
    </w:tbl>
    <w:p>
      <w:pPr>
        <w:pStyle w:val="23"/>
        <w:numPr>
          <w:ilvl w:val="0"/>
          <w:numId w:val="0"/>
        </w:numPr>
        <w:tabs>
          <w:tab w:val="left" w:pos="2340"/>
        </w:tabs>
        <w:spacing w:line="380" w:lineRule="exact"/>
        <w:ind w:left="422" w:leftChars="200" w:hanging="2" w:hangingChars="1"/>
        <w:rPr>
          <w:rFonts w:hint="eastAsia" w:hAnsi="宋体" w:cs="宋体"/>
          <w:color w:val="auto"/>
          <w:sz w:val="21"/>
        </w:rPr>
      </w:pPr>
      <w:r>
        <w:rPr>
          <w:rFonts w:hint="default" w:ascii="宋体" w:hAnsi="宋体" w:eastAsia="宋体" w:cs="宋体"/>
          <w:b w:val="0"/>
          <w:color w:val="auto"/>
          <w:kern w:val="2"/>
          <w:sz w:val="21"/>
          <w:szCs w:val="21"/>
          <w:lang w:val="en-US" w:eastAsia="zh-CN" w:bidi="ar-SA"/>
        </w:rPr>
        <w:t>1.2</w:t>
      </w:r>
      <w:r>
        <w:rPr>
          <w:rFonts w:hint="eastAsia" w:hAnsi="宋体" w:cs="宋体"/>
          <w:color w:val="auto"/>
          <w:sz w:val="21"/>
        </w:rPr>
        <w:t>具体感观要求：</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从蔬菜色泽看，各种蔬菜都应具有本品种固有的颜色，大多数有发亮的光泽，以此显示蔬菜的成熟度及鲜嫩程度；</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从蔬菜气味看，多数蔬菜具有清馨、甘辛香、甜酸香等气味，可凭嗅觉识别不同品种的质量，不允许有腐烂变质的亚硝酸盐味和其他异常气味；</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从蔬菜滋味看，因品种不同而各异，多数蔬菜滋味甘淡、甜酸、清爽鲜美，少数具有辛酸、苦涩等特殊风味以刺激食欲，如失去本品种原有的滋味即为异常；</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从蔬菜形态看，应尽量避免由于客观因素而造成的各种非正常、不新鲜的蔬菜，例如萎蔫、枯塌、损伤、病变、虫害侵蚀等引起的形态异常等。</w:t>
      </w:r>
    </w:p>
    <w:p>
      <w:pPr>
        <w:pStyle w:val="23"/>
        <w:tabs>
          <w:tab w:val="left" w:pos="2340"/>
        </w:tabs>
        <w:spacing w:line="380" w:lineRule="exact"/>
        <w:ind w:firstLine="412" w:firstLineChars="196"/>
        <w:rPr>
          <w:rFonts w:hint="eastAsia" w:hAnsi="宋体" w:cs="宋体"/>
          <w:color w:val="auto"/>
          <w:sz w:val="21"/>
        </w:rPr>
      </w:pPr>
      <w:r>
        <w:rPr>
          <w:rFonts w:hint="eastAsia" w:hAnsi="宋体" w:cs="宋体"/>
          <w:b/>
          <w:color w:val="auto"/>
          <w:sz w:val="21"/>
        </w:rPr>
        <w:t>叶菜类：</w:t>
      </w:r>
      <w:r>
        <w:rPr>
          <w:rFonts w:hint="eastAsia" w:hAnsi="宋体" w:cs="宋体"/>
          <w:color w:val="auto"/>
          <w:sz w:val="21"/>
        </w:rPr>
        <w:t>大白菜、小白菜、菠菜、甘蓝、荠菜、空心菜、茼蒿、苋菜、芹菜等绿叶菜类。</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属同一品种规格，肉质鲜嫩形态好，色泽正常，茎基部削平，无枯黄叶、病叶、泥土、明显机械伤和病虫害伤，无烧心焦边、腐烂等现象，无抽苔（菜心除外），无畸形、异味，结球叶菜要结球适度，花椰菜应新鲜洁白，不带叶麸，无畸形花。</w:t>
      </w:r>
    </w:p>
    <w:p>
      <w:pPr>
        <w:pStyle w:val="23"/>
        <w:tabs>
          <w:tab w:val="left" w:pos="2340"/>
        </w:tabs>
        <w:spacing w:line="380" w:lineRule="exact"/>
        <w:ind w:firstLine="420" w:firstLineChars="200"/>
        <w:rPr>
          <w:rFonts w:hint="eastAsia" w:hAnsi="宋体" w:cs="宋体"/>
          <w:color w:val="auto"/>
          <w:sz w:val="21"/>
        </w:rPr>
      </w:pPr>
      <w:r>
        <w:rPr>
          <w:rFonts w:hint="eastAsia" w:hAnsi="宋体" w:cs="宋体"/>
          <w:b/>
          <w:color w:val="auto"/>
          <w:sz w:val="21"/>
        </w:rPr>
        <w:t>茄果类：</w:t>
      </w:r>
      <w:r>
        <w:rPr>
          <w:rFonts w:hint="eastAsia" w:hAnsi="宋体" w:cs="宋体"/>
          <w:color w:val="auto"/>
          <w:sz w:val="21"/>
        </w:rPr>
        <w:t>番茄、茄子、甜椒、辣椒等。</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属同一品种规格，果实整洁，成熟度适中，番茄花蒂不明显，无裂果及空洞现象，茄果不能有裂蒂及果皮变硬现象，无腐烂、畸形、异味，无明显机械伤。</w:t>
      </w:r>
    </w:p>
    <w:p>
      <w:pPr>
        <w:pStyle w:val="23"/>
        <w:tabs>
          <w:tab w:val="left" w:pos="2340"/>
        </w:tabs>
        <w:spacing w:line="380" w:lineRule="exact"/>
        <w:ind w:firstLine="420" w:firstLineChars="200"/>
        <w:rPr>
          <w:rFonts w:hint="eastAsia" w:hAnsi="宋体" w:cs="宋体"/>
          <w:color w:val="auto"/>
          <w:sz w:val="21"/>
        </w:rPr>
      </w:pPr>
      <w:r>
        <w:rPr>
          <w:rFonts w:hint="eastAsia" w:hAnsi="宋体" w:cs="宋体"/>
          <w:b/>
          <w:color w:val="auto"/>
          <w:sz w:val="21"/>
        </w:rPr>
        <w:t>瓜果类：</w:t>
      </w:r>
      <w:r>
        <w:rPr>
          <w:rFonts w:hint="eastAsia" w:hAnsi="宋体" w:cs="宋体"/>
          <w:color w:val="auto"/>
          <w:sz w:val="21"/>
        </w:rPr>
        <w:t>黄瓜、冬瓜、丝瓜、苦瓜、南瓜、毛节瓜等。</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属同一品种规格，形状、色泽一致，瓜条均匀，无疤点，无断裂，无腐烂、畸形、异味、明显机械伤，不带泥土。</w:t>
      </w:r>
    </w:p>
    <w:p>
      <w:pPr>
        <w:pStyle w:val="23"/>
        <w:tabs>
          <w:tab w:val="left" w:pos="2340"/>
        </w:tabs>
        <w:spacing w:line="380" w:lineRule="exact"/>
        <w:ind w:firstLine="420" w:firstLineChars="200"/>
        <w:rPr>
          <w:rFonts w:hint="eastAsia" w:hAnsi="宋体" w:cs="宋体"/>
          <w:color w:val="auto"/>
          <w:sz w:val="21"/>
        </w:rPr>
      </w:pPr>
      <w:r>
        <w:rPr>
          <w:rFonts w:hint="eastAsia" w:hAnsi="宋体" w:cs="宋体"/>
          <w:b/>
          <w:color w:val="auto"/>
          <w:sz w:val="21"/>
        </w:rPr>
        <w:t>根菜类：</w:t>
      </w:r>
      <w:r>
        <w:rPr>
          <w:rFonts w:hint="eastAsia" w:hAnsi="宋体" w:cs="宋体"/>
          <w:color w:val="auto"/>
          <w:sz w:val="21"/>
        </w:rPr>
        <w:t>萝卜、胡萝卜等。</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属同一品种规格，皮细光滑，大小均匀，肉质脆嫩致密新鲜，无腐烂、畸形、裂痕、糠心、异味，不带泥沙，不带茎叶和须根。</w:t>
      </w:r>
    </w:p>
    <w:p>
      <w:pPr>
        <w:pStyle w:val="23"/>
        <w:tabs>
          <w:tab w:val="left" w:pos="2340"/>
        </w:tabs>
        <w:spacing w:line="380" w:lineRule="exact"/>
        <w:ind w:firstLine="420" w:firstLineChars="200"/>
        <w:rPr>
          <w:rFonts w:hint="eastAsia" w:hAnsi="宋体" w:cs="宋体"/>
          <w:color w:val="auto"/>
          <w:sz w:val="21"/>
        </w:rPr>
      </w:pPr>
      <w:r>
        <w:rPr>
          <w:rFonts w:hint="eastAsia" w:hAnsi="宋体" w:cs="宋体"/>
          <w:b/>
          <w:color w:val="auto"/>
          <w:sz w:val="21"/>
        </w:rPr>
        <w:t>薯芋类：</w:t>
      </w:r>
      <w:r>
        <w:rPr>
          <w:rFonts w:hint="eastAsia" w:hAnsi="宋体" w:cs="宋体"/>
          <w:color w:val="auto"/>
          <w:sz w:val="21"/>
        </w:rPr>
        <w:t>马铃薯、芋、姜等。</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属同一品种规格，色泽一致，不带泥沙，不带须根、茎叶，不干瘪，无腐烂、畸形、异味、明显机械伤、病虫害斑，马铃薯无发芽，皮不变绿。</w:t>
      </w:r>
    </w:p>
    <w:p>
      <w:pPr>
        <w:pStyle w:val="23"/>
        <w:tabs>
          <w:tab w:val="left" w:pos="2340"/>
        </w:tabs>
        <w:spacing w:line="380" w:lineRule="exact"/>
        <w:ind w:firstLine="420" w:firstLineChars="200"/>
        <w:rPr>
          <w:rFonts w:hint="eastAsia" w:hAnsi="宋体" w:cs="宋体"/>
          <w:color w:val="auto"/>
          <w:sz w:val="21"/>
        </w:rPr>
      </w:pPr>
      <w:r>
        <w:rPr>
          <w:rFonts w:hint="eastAsia" w:hAnsi="宋体" w:cs="宋体"/>
          <w:b/>
          <w:color w:val="auto"/>
          <w:sz w:val="21"/>
        </w:rPr>
        <w:t>葱蒜类：</w:t>
      </w:r>
      <w:r>
        <w:rPr>
          <w:rFonts w:hint="eastAsia" w:hAnsi="宋体" w:cs="宋体"/>
          <w:color w:val="auto"/>
          <w:sz w:val="21"/>
        </w:rPr>
        <w:t>葱、蒜、韭菜、洋葱等。</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属同一品种规格，允许葱、青蒜类保留干净须根，葱、蒜、韭菜不带老叶，蒜头、洋葱去根去枯叶，可食部分新鲜幼嫩，无腐烂、畸形、异味。</w:t>
      </w:r>
    </w:p>
    <w:p>
      <w:pPr>
        <w:pStyle w:val="23"/>
        <w:tabs>
          <w:tab w:val="left" w:pos="2340"/>
        </w:tabs>
        <w:spacing w:line="380" w:lineRule="exact"/>
        <w:ind w:firstLine="420" w:firstLineChars="200"/>
        <w:rPr>
          <w:rFonts w:hint="eastAsia" w:hAnsi="宋体" w:cs="宋体"/>
          <w:color w:val="auto"/>
          <w:sz w:val="21"/>
        </w:rPr>
      </w:pPr>
      <w:r>
        <w:rPr>
          <w:rFonts w:hint="eastAsia" w:hAnsi="宋体" w:cs="宋体"/>
          <w:b/>
          <w:color w:val="auto"/>
          <w:sz w:val="21"/>
        </w:rPr>
        <w:t>豆类：</w:t>
      </w:r>
      <w:r>
        <w:rPr>
          <w:rFonts w:hint="eastAsia" w:hAnsi="宋体" w:cs="宋体"/>
          <w:color w:val="auto"/>
          <w:sz w:val="21"/>
        </w:rPr>
        <w:t>扁豆、豌豆、毛豆等。</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属同一品种规格，形态完整，成熟度适中，无腐烂、畸形、异味，豆荚类新鲜、幼嫩、均匀，豆仁类籽粒饱满，较均匀，无发芽，不带泥土杂质。</w:t>
      </w:r>
    </w:p>
    <w:p>
      <w:pPr>
        <w:pStyle w:val="23"/>
        <w:tabs>
          <w:tab w:val="left" w:pos="2340"/>
        </w:tabs>
        <w:spacing w:line="380" w:lineRule="exact"/>
        <w:ind w:firstLine="420" w:firstLineChars="200"/>
        <w:rPr>
          <w:rFonts w:hint="eastAsia" w:hAnsi="宋体" w:cs="宋体"/>
          <w:color w:val="auto"/>
          <w:sz w:val="21"/>
        </w:rPr>
      </w:pPr>
      <w:r>
        <w:rPr>
          <w:rFonts w:hint="eastAsia" w:hAnsi="宋体" w:cs="宋体"/>
          <w:b/>
          <w:color w:val="auto"/>
          <w:sz w:val="21"/>
        </w:rPr>
        <w:t>水生菜类：</w:t>
      </w:r>
      <w:r>
        <w:rPr>
          <w:rFonts w:hint="eastAsia" w:hAnsi="宋体" w:cs="宋体"/>
          <w:color w:val="auto"/>
          <w:sz w:val="21"/>
        </w:rPr>
        <w:t>藕、慈菇、茭白、马蹄、菱等。</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属同一品种规格，肉质嫩，成熟度适中，无腐烂、畸形、异味，无明显机械伤，不带泥土和杂质，不干瘪，茭白不黑心。</w:t>
      </w:r>
    </w:p>
    <w:p>
      <w:pPr>
        <w:pStyle w:val="23"/>
        <w:tabs>
          <w:tab w:val="left" w:pos="2340"/>
        </w:tabs>
        <w:spacing w:line="380" w:lineRule="exact"/>
        <w:ind w:firstLine="420" w:firstLineChars="200"/>
        <w:rPr>
          <w:rFonts w:hint="eastAsia" w:hAnsi="宋体" w:cs="宋体"/>
          <w:color w:val="auto"/>
          <w:sz w:val="21"/>
        </w:rPr>
      </w:pPr>
      <w:r>
        <w:rPr>
          <w:rFonts w:hint="eastAsia" w:hAnsi="宋体" w:cs="宋体"/>
          <w:b/>
          <w:color w:val="auto"/>
          <w:sz w:val="21"/>
        </w:rPr>
        <w:t>食用菌类：</w:t>
      </w:r>
      <w:r>
        <w:rPr>
          <w:rFonts w:hint="eastAsia" w:hAnsi="宋体" w:cs="宋体"/>
          <w:color w:val="auto"/>
          <w:sz w:val="21"/>
        </w:rPr>
        <w:t>蘑菇、草菇、香菇、木耳等。</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属同一品种规格，蘑菇、草菇菌盖圆整略展开，柄粗壮，菌膜紧，菇柄切削平整，不浸泡水（蘑菇允许浸盐水保鲜），新鲜，无杂质，无畸形菇，无腐烂、异味。</w:t>
      </w:r>
    </w:p>
    <w:p>
      <w:pPr>
        <w:pStyle w:val="23"/>
        <w:tabs>
          <w:tab w:val="left" w:pos="2340"/>
        </w:tabs>
        <w:spacing w:line="380" w:lineRule="exact"/>
        <w:ind w:firstLine="420" w:firstLineChars="200"/>
        <w:rPr>
          <w:rFonts w:hint="eastAsia" w:hAnsi="宋体" w:cs="宋体"/>
          <w:color w:val="auto"/>
          <w:sz w:val="21"/>
        </w:rPr>
      </w:pPr>
      <w:r>
        <w:rPr>
          <w:rFonts w:hint="eastAsia" w:hAnsi="宋体" w:cs="宋体"/>
          <w:b/>
          <w:color w:val="auto"/>
          <w:sz w:val="21"/>
        </w:rPr>
        <w:t>芽苗类：</w:t>
      </w:r>
      <w:r>
        <w:rPr>
          <w:rFonts w:hint="eastAsia" w:hAnsi="宋体" w:cs="宋体"/>
          <w:color w:val="auto"/>
          <w:sz w:val="21"/>
        </w:rPr>
        <w:t>绿豆芽、黄豆芽、香樁苗等。</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芽苗幼嫩，不带豆壳杂质，新鲜，不浸水，无腐烂、异味。</w:t>
      </w:r>
    </w:p>
    <w:p>
      <w:pPr>
        <w:pStyle w:val="23"/>
        <w:numPr>
          <w:ilvl w:val="0"/>
          <w:numId w:val="0"/>
        </w:numPr>
        <w:tabs>
          <w:tab w:val="left" w:pos="2340"/>
        </w:tabs>
        <w:spacing w:line="380" w:lineRule="exact"/>
        <w:ind w:firstLine="420" w:firstLineChars="200"/>
        <w:rPr>
          <w:rFonts w:hint="eastAsia" w:hAnsi="宋体" w:cs="宋体"/>
          <w:color w:val="auto"/>
          <w:sz w:val="21"/>
        </w:rPr>
      </w:pPr>
      <w:r>
        <w:rPr>
          <w:rFonts w:hint="default" w:ascii="宋体" w:hAnsi="宋体" w:eastAsia="宋体" w:cs="宋体"/>
          <w:b w:val="0"/>
          <w:color w:val="auto"/>
          <w:kern w:val="2"/>
          <w:sz w:val="21"/>
          <w:szCs w:val="21"/>
          <w:lang w:val="en-US" w:eastAsia="zh-CN" w:bidi="ar-SA"/>
        </w:rPr>
        <w:t>1.3</w:t>
      </w:r>
      <w:r>
        <w:rPr>
          <w:rFonts w:hint="eastAsia" w:hAnsi="宋体" w:cs="宋体"/>
          <w:color w:val="auto"/>
          <w:sz w:val="21"/>
        </w:rPr>
        <w:t>食品供应链要求：所有食品的来源必须清晰。蔬菜应当来源于地方政府部门监管的自有基地、商品菜基地。</w:t>
      </w:r>
    </w:p>
    <w:p>
      <w:pPr>
        <w:pStyle w:val="23"/>
        <w:numPr>
          <w:ilvl w:val="0"/>
          <w:numId w:val="11"/>
        </w:numPr>
        <w:tabs>
          <w:tab w:val="left" w:pos="2340"/>
        </w:tabs>
        <w:spacing w:line="380" w:lineRule="exact"/>
        <w:rPr>
          <w:rFonts w:hint="eastAsia" w:hAnsi="宋体" w:cs="宋体"/>
          <w:b/>
          <w:bCs/>
          <w:color w:val="auto"/>
          <w:sz w:val="21"/>
        </w:rPr>
      </w:pPr>
      <w:r>
        <w:rPr>
          <w:rFonts w:hint="eastAsia" w:hAnsi="宋体" w:cs="宋体"/>
          <w:b/>
          <w:bCs/>
          <w:color w:val="auto"/>
          <w:sz w:val="21"/>
        </w:rPr>
        <w:t>鲜肉要求</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所供货物应保持较好的外观和质量等级，符合国家食品部门的有关标准，保证无异味、无霉烂变质，肉类保证来源于正规肉联厂，供货时须提交肉联厂的验收单及当批次有效的动物检疫合格证复印件（原件备查），鲜肉确保每日新鲜、无异味。</w:t>
      </w:r>
    </w:p>
    <w:p>
      <w:pPr>
        <w:pStyle w:val="23"/>
        <w:numPr>
          <w:ilvl w:val="0"/>
          <w:numId w:val="11"/>
        </w:numPr>
        <w:tabs>
          <w:tab w:val="left" w:pos="2340"/>
        </w:tabs>
        <w:spacing w:line="380" w:lineRule="exact"/>
        <w:rPr>
          <w:rFonts w:hint="eastAsia" w:hAnsi="宋体" w:cs="宋体"/>
          <w:b/>
          <w:color w:val="auto"/>
          <w:sz w:val="21"/>
        </w:rPr>
      </w:pPr>
      <w:r>
        <w:rPr>
          <w:rFonts w:hint="eastAsia" w:hAnsi="宋体" w:cs="宋体"/>
          <w:b/>
          <w:bCs/>
          <w:color w:val="auto"/>
          <w:sz w:val="21"/>
        </w:rPr>
        <w:t>腊肉</w:t>
      </w:r>
      <w:r>
        <w:rPr>
          <w:rFonts w:hint="eastAsia" w:hAnsi="宋体" w:cs="宋体"/>
          <w:b/>
          <w:color w:val="auto"/>
          <w:sz w:val="21"/>
        </w:rPr>
        <w:t>、腊肠要求：</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为国内知名品牌，具有质量体系认证，为密封包装。有商标并符合国家的相关规定，有效期限不少于六个月。符合国家食品部门的有关标准，良质腊肉色泽鲜明，肌肉暗红色，脂肪透明呈乳白色，肉干燥结实，带有固有的腊式香味；香肠：品质好的香肠是肠衣干燥，不发霉，无粘液，肠衣与肉馅紧密联在一起，表面紧而有弹性，色泽均匀，肥肉色白，瘦肉色红，无灰色斑点，气味芳香。</w:t>
      </w:r>
    </w:p>
    <w:p>
      <w:pPr>
        <w:pStyle w:val="23"/>
        <w:numPr>
          <w:ilvl w:val="0"/>
          <w:numId w:val="11"/>
        </w:numPr>
        <w:tabs>
          <w:tab w:val="left" w:pos="2340"/>
        </w:tabs>
        <w:spacing w:line="380" w:lineRule="exact"/>
        <w:rPr>
          <w:rFonts w:hint="eastAsia" w:hAnsi="宋体" w:cs="宋体"/>
          <w:b/>
          <w:bCs/>
          <w:color w:val="auto"/>
          <w:sz w:val="21"/>
        </w:rPr>
      </w:pPr>
      <w:r>
        <w:rPr>
          <w:rFonts w:hint="eastAsia" w:hAnsi="宋体" w:cs="宋体"/>
          <w:b/>
          <w:bCs/>
          <w:color w:val="auto"/>
          <w:sz w:val="21"/>
        </w:rPr>
        <w:t>禽、蛋要求：</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新鲜光禽：光禽是指经宰杀去毛以后的鸡、鸭、鹅等禽类，质量好坏，是否新鲜，主要根据以下几方面来判别：</w:t>
      </w:r>
    </w:p>
    <w:p>
      <w:pPr>
        <w:pStyle w:val="23"/>
        <w:keepNext w:val="0"/>
        <w:keepLines w:val="0"/>
        <w:pageBreakBefore w:val="0"/>
        <w:widowControl/>
        <w:numPr>
          <w:ilvl w:val="0"/>
          <w:numId w:val="0"/>
        </w:numPr>
        <w:tabs>
          <w:tab w:val="left" w:pos="2340"/>
        </w:tabs>
        <w:kinsoku/>
        <w:wordWrap/>
        <w:overflowPunct/>
        <w:topLinePunct w:val="0"/>
        <w:autoSpaceDE/>
        <w:autoSpaceDN/>
        <w:bidi w:val="0"/>
        <w:adjustRightInd/>
        <w:snapToGrid/>
        <w:spacing w:line="380" w:lineRule="exact"/>
        <w:ind w:left="0" w:leftChars="0" w:firstLine="567" w:firstLineChars="0"/>
        <w:textAlignment w:val="auto"/>
        <w:rPr>
          <w:rFonts w:hint="eastAsia" w:hAnsi="宋体" w:cs="宋体"/>
          <w:color w:val="auto"/>
          <w:sz w:val="21"/>
        </w:rPr>
      </w:pPr>
      <w:r>
        <w:rPr>
          <w:rFonts w:hint="eastAsia" w:ascii="Courier New" w:hAnsi="宋体" w:eastAsia="Courier New" w:cs="宋体"/>
          <w:color w:val="auto"/>
          <w:kern w:val="2"/>
          <w:sz w:val="21"/>
          <w:szCs w:val="21"/>
          <w:lang w:val="en-US" w:eastAsia="zh-CN" w:bidi="ar-SA"/>
        </w:rPr>
        <w:t>4.1</w:t>
      </w:r>
      <w:r>
        <w:rPr>
          <w:rFonts w:hint="eastAsia" w:hAnsi="宋体" w:cs="宋体"/>
          <w:color w:val="auto"/>
          <w:sz w:val="21"/>
        </w:rPr>
        <w:t>喙有光泽、干燥、无粘液；</w:t>
      </w:r>
    </w:p>
    <w:p>
      <w:pPr>
        <w:pStyle w:val="23"/>
        <w:keepNext w:val="0"/>
        <w:keepLines w:val="0"/>
        <w:pageBreakBefore w:val="0"/>
        <w:widowControl/>
        <w:numPr>
          <w:ilvl w:val="0"/>
          <w:numId w:val="0"/>
        </w:numPr>
        <w:tabs>
          <w:tab w:val="left" w:pos="2340"/>
        </w:tabs>
        <w:kinsoku/>
        <w:wordWrap/>
        <w:overflowPunct/>
        <w:topLinePunct w:val="0"/>
        <w:autoSpaceDE/>
        <w:autoSpaceDN/>
        <w:bidi w:val="0"/>
        <w:adjustRightInd/>
        <w:snapToGrid/>
        <w:spacing w:line="380" w:lineRule="exact"/>
        <w:ind w:left="0" w:leftChars="0" w:firstLine="567" w:firstLineChars="0"/>
        <w:textAlignment w:val="auto"/>
        <w:rPr>
          <w:rFonts w:hint="eastAsia" w:hAnsi="宋体" w:cs="宋体"/>
          <w:color w:val="auto"/>
          <w:sz w:val="21"/>
        </w:rPr>
      </w:pPr>
      <w:r>
        <w:rPr>
          <w:rFonts w:hint="eastAsia" w:ascii="Courier New" w:hAnsi="宋体" w:eastAsia="Courier New" w:cs="宋体"/>
          <w:color w:val="auto"/>
          <w:kern w:val="2"/>
          <w:sz w:val="21"/>
          <w:szCs w:val="21"/>
          <w:lang w:val="en-US" w:eastAsia="zh-CN" w:bidi="ar-SA"/>
        </w:rPr>
        <w:t>4.2</w:t>
      </w:r>
      <w:r>
        <w:rPr>
          <w:rFonts w:hint="eastAsia" w:hAnsi="宋体" w:cs="宋体"/>
          <w:color w:val="auto"/>
          <w:sz w:val="21"/>
        </w:rPr>
        <w:t>口腔：新鲜的光禽口腔粘膜呈淡玫瑰色，有光泽、洁净、无异味；</w:t>
      </w:r>
    </w:p>
    <w:p>
      <w:pPr>
        <w:pStyle w:val="23"/>
        <w:keepNext w:val="0"/>
        <w:keepLines w:val="0"/>
        <w:pageBreakBefore w:val="0"/>
        <w:widowControl/>
        <w:numPr>
          <w:ilvl w:val="0"/>
          <w:numId w:val="0"/>
        </w:numPr>
        <w:tabs>
          <w:tab w:val="left" w:pos="2340"/>
        </w:tabs>
        <w:kinsoku/>
        <w:wordWrap/>
        <w:overflowPunct/>
        <w:topLinePunct w:val="0"/>
        <w:autoSpaceDE/>
        <w:autoSpaceDN/>
        <w:bidi w:val="0"/>
        <w:adjustRightInd/>
        <w:snapToGrid/>
        <w:spacing w:line="380" w:lineRule="exact"/>
        <w:ind w:left="0" w:leftChars="0" w:firstLine="567" w:firstLineChars="0"/>
        <w:textAlignment w:val="auto"/>
        <w:rPr>
          <w:rFonts w:hint="eastAsia" w:hAnsi="宋体" w:cs="宋体"/>
          <w:color w:val="auto"/>
          <w:sz w:val="21"/>
        </w:rPr>
      </w:pPr>
      <w:r>
        <w:rPr>
          <w:rFonts w:hint="eastAsia" w:ascii="Courier New" w:hAnsi="宋体" w:eastAsia="Courier New" w:cs="宋体"/>
          <w:color w:val="auto"/>
          <w:kern w:val="2"/>
          <w:sz w:val="21"/>
          <w:szCs w:val="21"/>
          <w:lang w:val="en-US" w:eastAsia="zh-CN" w:bidi="ar-SA"/>
        </w:rPr>
        <w:t>4.3</w:t>
      </w:r>
      <w:r>
        <w:rPr>
          <w:rFonts w:hint="eastAsia" w:hAnsi="宋体" w:cs="宋体"/>
          <w:color w:val="auto"/>
          <w:sz w:val="21"/>
        </w:rPr>
        <w:t>新鲜的光禽眼睛明亮，充满整个眼窝；</w:t>
      </w:r>
    </w:p>
    <w:p>
      <w:pPr>
        <w:pStyle w:val="23"/>
        <w:keepNext w:val="0"/>
        <w:keepLines w:val="0"/>
        <w:pageBreakBefore w:val="0"/>
        <w:widowControl/>
        <w:numPr>
          <w:ilvl w:val="0"/>
          <w:numId w:val="0"/>
        </w:numPr>
        <w:tabs>
          <w:tab w:val="left" w:pos="2340"/>
        </w:tabs>
        <w:kinsoku/>
        <w:wordWrap/>
        <w:overflowPunct/>
        <w:topLinePunct w:val="0"/>
        <w:autoSpaceDE/>
        <w:autoSpaceDN/>
        <w:bidi w:val="0"/>
        <w:adjustRightInd/>
        <w:snapToGrid/>
        <w:spacing w:line="380" w:lineRule="exact"/>
        <w:ind w:left="0" w:leftChars="0" w:firstLine="567" w:firstLineChars="0"/>
        <w:textAlignment w:val="auto"/>
        <w:rPr>
          <w:rFonts w:hint="eastAsia" w:hAnsi="宋体" w:cs="宋体"/>
          <w:color w:val="auto"/>
          <w:sz w:val="21"/>
        </w:rPr>
      </w:pPr>
      <w:r>
        <w:rPr>
          <w:rFonts w:hint="eastAsia" w:ascii="Courier New" w:hAnsi="宋体" w:eastAsia="Courier New" w:cs="宋体"/>
          <w:color w:val="auto"/>
          <w:kern w:val="2"/>
          <w:sz w:val="21"/>
          <w:szCs w:val="21"/>
          <w:lang w:val="en-US" w:eastAsia="zh-CN" w:bidi="ar-SA"/>
        </w:rPr>
        <w:t>4.4</w:t>
      </w:r>
      <w:r>
        <w:rPr>
          <w:rFonts w:hint="eastAsia" w:hAnsi="宋体" w:cs="宋体"/>
          <w:color w:val="auto"/>
          <w:sz w:val="21"/>
        </w:rPr>
        <w:t>皮肤：新鲜的光禽皮肤上毛孔隆起，表面干燥而紧缩，呈乳白色或淡黄色，稍带微红，无异味；</w:t>
      </w:r>
    </w:p>
    <w:p>
      <w:pPr>
        <w:pStyle w:val="23"/>
        <w:keepNext w:val="0"/>
        <w:keepLines w:val="0"/>
        <w:pageBreakBefore w:val="0"/>
        <w:widowControl/>
        <w:numPr>
          <w:ilvl w:val="0"/>
          <w:numId w:val="0"/>
        </w:numPr>
        <w:tabs>
          <w:tab w:val="left" w:pos="2340"/>
        </w:tabs>
        <w:kinsoku/>
        <w:wordWrap/>
        <w:overflowPunct/>
        <w:topLinePunct w:val="0"/>
        <w:autoSpaceDE/>
        <w:autoSpaceDN/>
        <w:bidi w:val="0"/>
        <w:adjustRightInd/>
        <w:snapToGrid/>
        <w:spacing w:line="380" w:lineRule="exact"/>
        <w:ind w:left="0" w:leftChars="0" w:firstLine="567" w:firstLineChars="0"/>
        <w:textAlignment w:val="auto"/>
        <w:rPr>
          <w:rFonts w:hint="eastAsia" w:hAnsi="宋体" w:cs="宋体"/>
          <w:color w:val="auto"/>
          <w:sz w:val="21"/>
        </w:rPr>
      </w:pPr>
      <w:r>
        <w:rPr>
          <w:rFonts w:hint="eastAsia" w:ascii="Courier New" w:hAnsi="宋体" w:eastAsia="Courier New" w:cs="宋体"/>
          <w:color w:val="auto"/>
          <w:kern w:val="2"/>
          <w:sz w:val="21"/>
          <w:szCs w:val="21"/>
          <w:lang w:val="en-US" w:eastAsia="zh-CN" w:bidi="ar-SA"/>
        </w:rPr>
        <w:t>4.5</w:t>
      </w:r>
      <w:r>
        <w:rPr>
          <w:rFonts w:hint="eastAsia" w:hAnsi="宋体" w:cs="宋体"/>
          <w:color w:val="auto"/>
          <w:sz w:val="21"/>
        </w:rPr>
        <w:t>脂肪：新鲜的光禽脂肪呈淡黄色或黄色，有光泽，无异味；</w:t>
      </w:r>
    </w:p>
    <w:p>
      <w:pPr>
        <w:pStyle w:val="23"/>
        <w:keepNext w:val="0"/>
        <w:keepLines w:val="0"/>
        <w:pageBreakBefore w:val="0"/>
        <w:widowControl/>
        <w:numPr>
          <w:ilvl w:val="0"/>
          <w:numId w:val="0"/>
        </w:numPr>
        <w:tabs>
          <w:tab w:val="left" w:pos="2340"/>
        </w:tabs>
        <w:kinsoku/>
        <w:wordWrap/>
        <w:overflowPunct/>
        <w:topLinePunct w:val="0"/>
        <w:autoSpaceDE/>
        <w:autoSpaceDN/>
        <w:bidi w:val="0"/>
        <w:adjustRightInd/>
        <w:snapToGrid/>
        <w:spacing w:line="380" w:lineRule="exact"/>
        <w:ind w:left="0" w:leftChars="0" w:firstLine="567" w:firstLineChars="0"/>
        <w:textAlignment w:val="auto"/>
        <w:rPr>
          <w:rFonts w:hint="eastAsia" w:hAnsi="宋体" w:cs="宋体"/>
          <w:color w:val="auto"/>
          <w:sz w:val="21"/>
        </w:rPr>
      </w:pPr>
      <w:r>
        <w:rPr>
          <w:rFonts w:hint="eastAsia" w:ascii="Courier New" w:hAnsi="宋体" w:eastAsia="Courier New" w:cs="宋体"/>
          <w:color w:val="auto"/>
          <w:kern w:val="2"/>
          <w:sz w:val="21"/>
          <w:szCs w:val="21"/>
          <w:lang w:val="en-US" w:eastAsia="zh-CN" w:bidi="ar-SA"/>
        </w:rPr>
        <w:t>4.6</w:t>
      </w:r>
      <w:r>
        <w:rPr>
          <w:rFonts w:hint="eastAsia" w:hAnsi="宋体" w:cs="宋体"/>
          <w:color w:val="auto"/>
          <w:sz w:val="21"/>
        </w:rPr>
        <w:t>肌肉：新鲜光禽肌肉结实，有弹性，有光泽，颈、腿部肌肉呈玫瑰红色变质的光禽肌肉松驰，湿润发粘，色变暗红，有明显腐败气味；</w:t>
      </w:r>
    </w:p>
    <w:p>
      <w:pPr>
        <w:pStyle w:val="23"/>
        <w:keepNext w:val="0"/>
        <w:keepLines w:val="0"/>
        <w:pageBreakBefore w:val="0"/>
        <w:widowControl/>
        <w:numPr>
          <w:ilvl w:val="0"/>
          <w:numId w:val="0"/>
        </w:numPr>
        <w:tabs>
          <w:tab w:val="left" w:pos="2340"/>
        </w:tabs>
        <w:kinsoku/>
        <w:wordWrap/>
        <w:overflowPunct/>
        <w:topLinePunct w:val="0"/>
        <w:autoSpaceDE/>
        <w:autoSpaceDN/>
        <w:bidi w:val="0"/>
        <w:adjustRightInd/>
        <w:snapToGrid/>
        <w:spacing w:line="380" w:lineRule="exact"/>
        <w:ind w:left="0" w:leftChars="0" w:firstLine="567" w:firstLineChars="0"/>
        <w:textAlignment w:val="auto"/>
        <w:rPr>
          <w:rFonts w:hint="eastAsia" w:hAnsi="宋体" w:cs="宋体"/>
          <w:color w:val="auto"/>
          <w:sz w:val="21"/>
        </w:rPr>
      </w:pPr>
      <w:r>
        <w:rPr>
          <w:rFonts w:hint="eastAsia" w:ascii="Courier New" w:hAnsi="宋体" w:eastAsia="Courier New" w:cs="宋体"/>
          <w:color w:val="auto"/>
          <w:kern w:val="2"/>
          <w:sz w:val="21"/>
          <w:szCs w:val="21"/>
          <w:lang w:val="en-US" w:eastAsia="zh-CN" w:bidi="ar-SA"/>
        </w:rPr>
        <w:t>4.7</w:t>
      </w:r>
      <w:r>
        <w:rPr>
          <w:rFonts w:hint="eastAsia" w:hAnsi="宋体" w:cs="宋体"/>
          <w:color w:val="auto"/>
          <w:sz w:val="21"/>
        </w:rPr>
        <w:t>冷冻禽类食品解冻后净重量不少于90%，冷冻肉类食品解冻后净重量不少于92%，冷冻水产类食品解冻后净重量不少于82%，解冻时间为4小时以内（室温20℃）。所有冷冻食品要求清晰列出产品品牌、规格、类型、包装方式、包装净重、含冰量等相关参数。蛋类：</w:t>
      </w:r>
    </w:p>
    <w:p>
      <w:pPr>
        <w:pStyle w:val="23"/>
        <w:keepNext w:val="0"/>
        <w:keepLines w:val="0"/>
        <w:pageBreakBefore w:val="0"/>
        <w:widowControl/>
        <w:numPr>
          <w:ilvl w:val="0"/>
          <w:numId w:val="0"/>
        </w:numPr>
        <w:tabs>
          <w:tab w:val="left" w:pos="2340"/>
        </w:tabs>
        <w:kinsoku/>
        <w:wordWrap/>
        <w:overflowPunct/>
        <w:topLinePunct w:val="0"/>
        <w:autoSpaceDE/>
        <w:autoSpaceDN/>
        <w:bidi w:val="0"/>
        <w:adjustRightInd/>
        <w:snapToGrid/>
        <w:spacing w:line="380" w:lineRule="exact"/>
        <w:ind w:left="0" w:leftChars="0" w:firstLine="567" w:firstLineChars="0"/>
        <w:textAlignment w:val="auto"/>
        <w:rPr>
          <w:rFonts w:hint="eastAsia" w:hAnsi="宋体" w:cs="宋体"/>
          <w:color w:val="auto"/>
          <w:sz w:val="21"/>
        </w:rPr>
      </w:pPr>
      <w:r>
        <w:rPr>
          <w:rFonts w:hint="eastAsia" w:ascii="Courier New" w:hAnsi="宋体" w:eastAsia="Courier New" w:cs="宋体"/>
          <w:color w:val="auto"/>
          <w:kern w:val="2"/>
          <w:sz w:val="21"/>
          <w:szCs w:val="21"/>
          <w:lang w:val="en-US" w:eastAsia="zh-CN" w:bidi="ar-SA"/>
        </w:rPr>
        <w:t>4.8</w:t>
      </w:r>
      <w:r>
        <w:rPr>
          <w:rFonts w:hint="eastAsia" w:hAnsi="宋体" w:cs="宋体"/>
          <w:color w:val="auto"/>
          <w:sz w:val="21"/>
        </w:rPr>
        <w:t>蛋：新鲜蛋蛋壳比较毛糙，壳上附有一层霜状的粉末，没有裂纹，色泽鲜明，清洁；</w:t>
      </w:r>
    </w:p>
    <w:p>
      <w:pPr>
        <w:pStyle w:val="23"/>
        <w:keepNext w:val="0"/>
        <w:keepLines w:val="0"/>
        <w:pageBreakBefore w:val="0"/>
        <w:widowControl/>
        <w:numPr>
          <w:ilvl w:val="0"/>
          <w:numId w:val="0"/>
        </w:numPr>
        <w:tabs>
          <w:tab w:val="left" w:pos="2340"/>
        </w:tabs>
        <w:kinsoku/>
        <w:wordWrap/>
        <w:overflowPunct/>
        <w:topLinePunct w:val="0"/>
        <w:autoSpaceDE/>
        <w:autoSpaceDN/>
        <w:bidi w:val="0"/>
        <w:adjustRightInd/>
        <w:snapToGrid/>
        <w:spacing w:line="380" w:lineRule="exact"/>
        <w:ind w:left="0" w:leftChars="0" w:firstLine="567" w:firstLineChars="0"/>
        <w:textAlignment w:val="auto"/>
        <w:rPr>
          <w:rFonts w:hint="eastAsia" w:hAnsi="宋体" w:cs="宋体"/>
          <w:color w:val="auto"/>
          <w:sz w:val="21"/>
        </w:rPr>
      </w:pPr>
      <w:r>
        <w:rPr>
          <w:rFonts w:hint="eastAsia" w:ascii="Courier New" w:hAnsi="宋体" w:eastAsia="Courier New" w:cs="宋体"/>
          <w:color w:val="auto"/>
          <w:kern w:val="2"/>
          <w:sz w:val="21"/>
          <w:szCs w:val="21"/>
          <w:lang w:val="en-US" w:eastAsia="zh-CN" w:bidi="ar-SA"/>
        </w:rPr>
        <w:t>4.9</w:t>
      </w:r>
      <w:r>
        <w:rPr>
          <w:rFonts w:hint="eastAsia" w:hAnsi="宋体" w:cs="宋体"/>
          <w:color w:val="auto"/>
          <w:sz w:val="21"/>
        </w:rPr>
        <w:t>咸蛋：好的咸蛋裹泥完整，无霉变，蛋壳无裂纹，光咸蛋可在阳光下照视，其蛋白透明，红。</w:t>
      </w:r>
    </w:p>
    <w:p>
      <w:pPr>
        <w:pStyle w:val="23"/>
        <w:numPr>
          <w:ilvl w:val="0"/>
          <w:numId w:val="11"/>
        </w:numPr>
        <w:tabs>
          <w:tab w:val="left" w:pos="2340"/>
        </w:tabs>
        <w:spacing w:line="380" w:lineRule="exact"/>
        <w:rPr>
          <w:rFonts w:hint="eastAsia" w:hAnsi="宋体" w:cs="宋体"/>
          <w:color w:val="auto"/>
          <w:sz w:val="21"/>
        </w:rPr>
      </w:pPr>
      <w:r>
        <w:rPr>
          <w:rFonts w:hint="eastAsia" w:hAnsi="宋体" w:cs="宋体"/>
          <w:b/>
          <w:color w:val="auto"/>
          <w:sz w:val="21"/>
        </w:rPr>
        <w:t>干货制品的质量要求</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采购人可根据实际情况对需要的干货制品进行品质抽检，对质量未达到国家标准的干货制品采购人有权拒绝接受。</w:t>
      </w:r>
    </w:p>
    <w:p>
      <w:pPr>
        <w:pStyle w:val="23"/>
        <w:numPr>
          <w:ilvl w:val="0"/>
          <w:numId w:val="12"/>
        </w:numPr>
        <w:tabs>
          <w:tab w:val="left" w:pos="2340"/>
        </w:tabs>
        <w:spacing w:line="380" w:lineRule="exact"/>
        <w:rPr>
          <w:rFonts w:hint="eastAsia" w:hAnsi="宋体" w:cs="宋体"/>
          <w:b/>
          <w:bCs/>
          <w:color w:val="auto"/>
          <w:sz w:val="21"/>
        </w:rPr>
      </w:pPr>
      <w:r>
        <w:rPr>
          <w:rFonts w:hint="eastAsia" w:hAnsi="宋体" w:cs="宋体"/>
          <w:b/>
          <w:bCs/>
          <w:color w:val="auto"/>
          <w:sz w:val="21"/>
        </w:rPr>
        <w:t>油类要求：</w:t>
      </w:r>
    </w:p>
    <w:p>
      <w:pPr>
        <w:pStyle w:val="23"/>
        <w:numPr>
          <w:ilvl w:val="0"/>
          <w:numId w:val="0"/>
        </w:numPr>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花生油为国内知名品牌，具有质量体系认证，为桶装密封包装。有商标并符合国家相关标准规定，有效期限不少于六个月。</w:t>
      </w:r>
    </w:p>
    <w:p>
      <w:pPr>
        <w:pStyle w:val="23"/>
        <w:tabs>
          <w:tab w:val="left" w:pos="2340"/>
        </w:tabs>
        <w:spacing w:line="380" w:lineRule="exact"/>
        <w:rPr>
          <w:rFonts w:hint="eastAsia" w:hAnsi="宋体" w:cs="宋体"/>
          <w:b/>
          <w:bCs/>
          <w:color w:val="auto"/>
          <w:sz w:val="21"/>
        </w:rPr>
      </w:pPr>
      <w:r>
        <w:rPr>
          <w:rFonts w:hint="eastAsia" w:hAnsi="宋体" w:cs="宋体"/>
          <w:b/>
          <w:bCs/>
          <w:color w:val="auto"/>
          <w:sz w:val="21"/>
        </w:rPr>
        <w:t>7、调味品要求：</w:t>
      </w:r>
    </w:p>
    <w:p>
      <w:pPr>
        <w:pStyle w:val="23"/>
        <w:tabs>
          <w:tab w:val="left" w:pos="2340"/>
        </w:tabs>
        <w:spacing w:line="380" w:lineRule="exact"/>
        <w:ind w:firstLine="420" w:firstLineChars="200"/>
        <w:rPr>
          <w:rFonts w:hint="eastAsia" w:hAnsi="宋体" w:cs="宋体"/>
          <w:color w:val="auto"/>
          <w:sz w:val="21"/>
        </w:rPr>
      </w:pPr>
      <w:r>
        <w:rPr>
          <w:rFonts w:hint="eastAsia" w:hAnsi="宋体" w:cs="宋体"/>
          <w:color w:val="auto"/>
          <w:sz w:val="21"/>
        </w:rPr>
        <w:t>为国内知名品牌，具有质量体系认证，为密封包装。有商标并符合国家相关标准规定，有效期限不少于六个月。</w:t>
      </w:r>
    </w:p>
    <w:p>
      <w:pPr>
        <w:pStyle w:val="23"/>
        <w:numPr>
          <w:ilvl w:val="0"/>
          <w:numId w:val="12"/>
        </w:numPr>
        <w:tabs>
          <w:tab w:val="left" w:pos="2340"/>
        </w:tabs>
        <w:spacing w:line="380" w:lineRule="exact"/>
        <w:ind w:left="0" w:leftChars="0" w:firstLine="0" w:firstLineChars="0"/>
        <w:rPr>
          <w:rFonts w:hint="eastAsia" w:hAnsi="宋体" w:cs="宋体"/>
          <w:b/>
          <w:bCs/>
          <w:color w:val="auto"/>
          <w:sz w:val="21"/>
        </w:rPr>
      </w:pPr>
      <w:r>
        <w:rPr>
          <w:rFonts w:hint="eastAsia" w:hAnsi="宋体" w:cs="宋体"/>
          <w:b/>
          <w:bCs/>
          <w:color w:val="auto"/>
          <w:sz w:val="21"/>
        </w:rPr>
        <w:t>大米要求：</w:t>
      </w:r>
    </w:p>
    <w:p>
      <w:pPr>
        <w:pStyle w:val="23"/>
        <w:numPr>
          <w:ilvl w:val="0"/>
          <w:numId w:val="0"/>
        </w:numPr>
        <w:tabs>
          <w:tab w:val="left" w:pos="2340"/>
        </w:tabs>
        <w:spacing w:line="380" w:lineRule="exact"/>
        <w:ind w:leftChars="0" w:firstLine="420" w:firstLineChars="200"/>
        <w:rPr>
          <w:rFonts w:hint="eastAsia" w:hAnsi="宋体" w:cs="宋体"/>
          <w:color w:val="auto"/>
          <w:sz w:val="21"/>
        </w:rPr>
      </w:pPr>
      <w:r>
        <w:rPr>
          <w:rFonts w:hint="eastAsia" w:hAnsi="宋体" w:cs="宋体"/>
          <w:bCs/>
          <w:color w:val="auto"/>
          <w:sz w:val="21"/>
        </w:rPr>
        <w:t>外观大小均匀，坚实丰满、粒面光滑、完整、很少有碎米、无虫、不含杂质、有正常的香气味、无其他异味、色泽呈清白色或精白色、具有光泽、呈半透明状。袋装</w:t>
      </w:r>
      <w:r>
        <w:rPr>
          <w:rFonts w:hint="eastAsia" w:hAnsi="宋体" w:cs="宋体"/>
          <w:color w:val="auto"/>
          <w:sz w:val="21"/>
        </w:rPr>
        <w:t>密封，有商标并符合国家相关标准规定，有效期限不少于三个月。</w:t>
      </w:r>
    </w:p>
    <w:p>
      <w:pPr>
        <w:pStyle w:val="23"/>
        <w:numPr>
          <w:ilvl w:val="0"/>
          <w:numId w:val="12"/>
        </w:numPr>
        <w:tabs>
          <w:tab w:val="left" w:pos="2340"/>
        </w:tabs>
        <w:spacing w:line="380" w:lineRule="exact"/>
        <w:ind w:left="0" w:leftChars="0" w:firstLine="0" w:firstLineChars="0"/>
        <w:rPr>
          <w:rFonts w:hint="eastAsia" w:hAnsi="宋体" w:cs="宋体"/>
          <w:b/>
          <w:bCs/>
          <w:color w:val="auto"/>
          <w:sz w:val="21"/>
        </w:rPr>
      </w:pPr>
      <w:r>
        <w:rPr>
          <w:rFonts w:hint="eastAsia" w:hAnsi="宋体" w:cs="宋体"/>
          <w:b/>
          <w:bCs/>
          <w:color w:val="auto"/>
          <w:sz w:val="21"/>
        </w:rPr>
        <w:t>面（包含面粉、面条）要求：</w:t>
      </w:r>
    </w:p>
    <w:p>
      <w:pPr>
        <w:pStyle w:val="23"/>
        <w:numPr>
          <w:ilvl w:val="0"/>
          <w:numId w:val="0"/>
        </w:numPr>
        <w:tabs>
          <w:tab w:val="left" w:pos="2340"/>
        </w:tabs>
        <w:spacing w:line="380" w:lineRule="exact"/>
        <w:ind w:leftChars="0" w:firstLine="420" w:firstLineChars="200"/>
        <w:rPr>
          <w:rFonts w:hint="eastAsia" w:hAnsi="宋体" w:cs="宋体"/>
          <w:color w:val="auto"/>
          <w:sz w:val="21"/>
        </w:rPr>
      </w:pPr>
      <w:r>
        <w:rPr>
          <w:rFonts w:hint="eastAsia" w:hAnsi="宋体" w:cs="宋体"/>
          <w:bCs/>
          <w:color w:val="auto"/>
          <w:sz w:val="21"/>
        </w:rPr>
        <w:t>无结块、无虫、不含杂质、有正常的香气味、无其他异味、色泽为正常浅黄色。袋装</w:t>
      </w:r>
      <w:r>
        <w:rPr>
          <w:rFonts w:hint="eastAsia" w:hAnsi="宋体" w:cs="宋体"/>
          <w:color w:val="auto"/>
          <w:sz w:val="21"/>
        </w:rPr>
        <w:t>密封，有商标并符合国家相关标准规定，有效期限不少于三个月。</w:t>
      </w:r>
    </w:p>
    <w:p>
      <w:pPr>
        <w:pStyle w:val="23"/>
        <w:tabs>
          <w:tab w:val="left" w:pos="2340"/>
        </w:tabs>
        <w:spacing w:line="380" w:lineRule="exact"/>
        <w:rPr>
          <w:rFonts w:hint="eastAsia" w:hAnsi="宋体" w:cs="宋体"/>
          <w:b/>
          <w:color w:val="auto"/>
          <w:sz w:val="21"/>
        </w:rPr>
      </w:pPr>
      <w:r>
        <w:rPr>
          <w:rFonts w:hint="eastAsia" w:hAnsi="宋体" w:cs="宋体"/>
          <w:b/>
          <w:color w:val="auto"/>
          <w:sz w:val="21"/>
        </w:rPr>
        <w:t>10、蛋糕要求：</w:t>
      </w:r>
    </w:p>
    <w:p>
      <w:pPr>
        <w:pStyle w:val="23"/>
        <w:keepNext w:val="0"/>
        <w:keepLines w:val="0"/>
        <w:pageBreakBefore w:val="0"/>
        <w:widowControl/>
        <w:tabs>
          <w:tab w:val="left" w:pos="2340"/>
        </w:tabs>
        <w:kinsoku/>
        <w:wordWrap/>
        <w:overflowPunct/>
        <w:topLinePunct w:val="0"/>
        <w:autoSpaceDE/>
        <w:autoSpaceDN/>
        <w:bidi w:val="0"/>
        <w:adjustRightInd/>
        <w:snapToGrid/>
        <w:spacing w:line="380" w:lineRule="exact"/>
        <w:ind w:firstLine="420" w:firstLineChars="200"/>
        <w:textAlignment w:val="auto"/>
        <w:rPr>
          <w:rFonts w:hint="eastAsia" w:hAnsi="宋体" w:cs="宋体"/>
          <w:color w:val="auto"/>
          <w:sz w:val="21"/>
        </w:rPr>
      </w:pPr>
      <w:r>
        <w:rPr>
          <w:rFonts w:hint="eastAsia" w:hAnsi="宋体" w:cs="宋体"/>
          <w:color w:val="auto"/>
          <w:sz w:val="21"/>
        </w:rPr>
        <w:t>（1）原料要求：应符合相应的标准和有关规定。</w:t>
      </w:r>
    </w:p>
    <w:p>
      <w:pPr>
        <w:pStyle w:val="23"/>
        <w:keepNext w:val="0"/>
        <w:keepLines w:val="0"/>
        <w:pageBreakBefore w:val="0"/>
        <w:widowControl/>
        <w:tabs>
          <w:tab w:val="left" w:pos="2340"/>
        </w:tabs>
        <w:kinsoku/>
        <w:wordWrap/>
        <w:overflowPunct/>
        <w:topLinePunct w:val="0"/>
        <w:autoSpaceDE/>
        <w:autoSpaceDN/>
        <w:bidi w:val="0"/>
        <w:adjustRightInd/>
        <w:snapToGrid/>
        <w:spacing w:line="380" w:lineRule="exact"/>
        <w:ind w:firstLine="420" w:firstLineChars="200"/>
        <w:textAlignment w:val="auto"/>
        <w:rPr>
          <w:rFonts w:hint="eastAsia" w:hAnsi="宋体" w:cs="宋体"/>
          <w:color w:val="auto"/>
          <w:sz w:val="21"/>
        </w:rPr>
      </w:pPr>
      <w:r>
        <w:rPr>
          <w:rFonts w:hint="eastAsia" w:hAnsi="宋体" w:cs="宋体"/>
          <w:color w:val="auto"/>
          <w:sz w:val="21"/>
        </w:rPr>
        <w:t>（2）感官要求：应具有糕点、面包各自的正常色泽、气味、滋味及组织状态，不得有酸败、发霉等异味、食品内外不得有霉变、生虫及其他外来污染物。</w:t>
      </w:r>
    </w:p>
    <w:p>
      <w:pPr>
        <w:pStyle w:val="23"/>
        <w:keepNext w:val="0"/>
        <w:keepLines w:val="0"/>
        <w:pageBreakBefore w:val="0"/>
        <w:widowControl/>
        <w:tabs>
          <w:tab w:val="left" w:pos="2340"/>
        </w:tabs>
        <w:kinsoku/>
        <w:wordWrap/>
        <w:overflowPunct/>
        <w:topLinePunct w:val="0"/>
        <w:autoSpaceDE/>
        <w:autoSpaceDN/>
        <w:bidi w:val="0"/>
        <w:adjustRightInd/>
        <w:snapToGrid/>
        <w:spacing w:line="380" w:lineRule="exact"/>
        <w:ind w:firstLine="420" w:firstLineChars="200"/>
        <w:textAlignment w:val="auto"/>
        <w:rPr>
          <w:rFonts w:hint="eastAsia" w:hAnsi="宋体" w:cs="宋体"/>
          <w:color w:val="auto"/>
          <w:sz w:val="21"/>
        </w:rPr>
      </w:pPr>
      <w:r>
        <w:rPr>
          <w:rFonts w:hint="eastAsia" w:hAnsi="宋体" w:cs="宋体"/>
          <w:color w:val="auto"/>
          <w:sz w:val="21"/>
        </w:rPr>
        <w:t>（3）中标单位提供的糕点必须卫生、不过期、不变质、不变味、无杂质、无毒无害、符合国家食品卫生相关规定。</w:t>
      </w:r>
    </w:p>
    <w:p>
      <w:pPr>
        <w:pStyle w:val="23"/>
        <w:keepNext w:val="0"/>
        <w:keepLines w:val="0"/>
        <w:pageBreakBefore w:val="0"/>
        <w:widowControl/>
        <w:tabs>
          <w:tab w:val="left" w:pos="2340"/>
        </w:tabs>
        <w:kinsoku/>
        <w:wordWrap/>
        <w:overflowPunct/>
        <w:topLinePunct w:val="0"/>
        <w:autoSpaceDE/>
        <w:autoSpaceDN/>
        <w:bidi w:val="0"/>
        <w:adjustRightInd/>
        <w:snapToGrid/>
        <w:spacing w:line="380" w:lineRule="exact"/>
        <w:ind w:firstLine="420" w:firstLineChars="200"/>
        <w:textAlignment w:val="auto"/>
        <w:rPr>
          <w:rFonts w:hint="eastAsia" w:hAnsi="宋体" w:cs="宋体"/>
          <w:color w:val="auto"/>
          <w:sz w:val="21"/>
        </w:rPr>
      </w:pPr>
      <w:r>
        <w:rPr>
          <w:rFonts w:hint="eastAsia" w:hAnsi="宋体" w:cs="宋体"/>
          <w:color w:val="auto"/>
          <w:sz w:val="21"/>
        </w:rPr>
        <w:t>（4）包装容器和材料应符合相应的卫生标准和有关规定。</w:t>
      </w:r>
    </w:p>
    <w:p>
      <w:pPr>
        <w:pStyle w:val="23"/>
        <w:keepNext w:val="0"/>
        <w:keepLines w:val="0"/>
        <w:pageBreakBefore w:val="0"/>
        <w:widowControl/>
        <w:tabs>
          <w:tab w:val="left" w:pos="2340"/>
        </w:tabs>
        <w:kinsoku/>
        <w:wordWrap/>
        <w:overflowPunct/>
        <w:topLinePunct w:val="0"/>
        <w:autoSpaceDE/>
        <w:autoSpaceDN/>
        <w:bidi w:val="0"/>
        <w:adjustRightInd/>
        <w:snapToGrid/>
        <w:spacing w:line="380" w:lineRule="exact"/>
        <w:ind w:firstLine="420" w:firstLineChars="200"/>
        <w:textAlignment w:val="auto"/>
        <w:rPr>
          <w:rFonts w:hint="eastAsia" w:hAnsi="宋体" w:cs="宋体"/>
          <w:color w:val="auto"/>
          <w:sz w:val="21"/>
        </w:rPr>
      </w:pPr>
      <w:r>
        <w:rPr>
          <w:rFonts w:hint="eastAsia" w:hAnsi="宋体" w:cs="宋体"/>
          <w:color w:val="auto"/>
          <w:sz w:val="21"/>
        </w:rPr>
        <w:t>（5）标识：定型包装的标识要求应符合有关规定，在产品的单位包装上要标明冷加工或热加工。</w:t>
      </w:r>
    </w:p>
    <w:p>
      <w:pPr>
        <w:numPr>
          <w:ilvl w:val="0"/>
          <w:numId w:val="0"/>
        </w:numPr>
        <w:spacing w:line="380" w:lineRule="exact"/>
        <w:ind w:leftChars="0"/>
        <w:rPr>
          <w:rFonts w:hint="eastAsia" w:ascii="宋体" w:hAnsi="宋体" w:cs="宋体"/>
          <w:b/>
          <w:bCs/>
          <w:color w:val="auto"/>
          <w:sz w:val="21"/>
          <w:szCs w:val="21"/>
        </w:rPr>
      </w:pPr>
      <w:r>
        <w:rPr>
          <w:rFonts w:hint="eastAsia" w:ascii="宋体" w:hAnsi="宋体" w:cs="宋体"/>
          <w:b/>
          <w:bCs/>
          <w:color w:val="auto"/>
          <w:sz w:val="21"/>
          <w:szCs w:val="21"/>
          <w:lang w:eastAsia="zh-CN"/>
        </w:rPr>
        <w:t>（</w:t>
      </w:r>
      <w:r>
        <w:rPr>
          <w:rFonts w:hint="eastAsia" w:ascii="宋体" w:hAnsi="宋体" w:cs="宋体"/>
          <w:b/>
          <w:bCs/>
          <w:color w:val="auto"/>
          <w:sz w:val="21"/>
          <w:szCs w:val="21"/>
          <w:lang w:val="en-US" w:eastAsia="zh-CN"/>
        </w:rPr>
        <w:t>四</w:t>
      </w:r>
      <w:r>
        <w:rPr>
          <w:rFonts w:hint="eastAsia" w:ascii="宋体" w:hAnsi="宋体" w:cs="宋体"/>
          <w:b/>
          <w:bCs/>
          <w:color w:val="auto"/>
          <w:sz w:val="21"/>
          <w:szCs w:val="21"/>
          <w:lang w:eastAsia="zh-CN"/>
        </w:rPr>
        <w:t>）</w:t>
      </w:r>
      <w:r>
        <w:rPr>
          <w:rFonts w:hint="eastAsia" w:ascii="宋体" w:hAnsi="宋体" w:cs="宋体"/>
          <w:b/>
          <w:bCs/>
          <w:color w:val="auto"/>
          <w:sz w:val="21"/>
          <w:szCs w:val="21"/>
        </w:rPr>
        <w:t>产品配送要求：</w:t>
      </w:r>
    </w:p>
    <w:p>
      <w:pPr>
        <w:ind w:firstLine="420" w:firstLineChars="200"/>
        <w:rPr>
          <w:rFonts w:hint="eastAsia" w:ascii="宋体" w:hAnsi="宋体" w:cs="宋体"/>
          <w:color w:val="auto"/>
          <w:sz w:val="21"/>
          <w:szCs w:val="21"/>
        </w:rPr>
      </w:pPr>
      <w:r>
        <w:rPr>
          <w:rFonts w:hint="eastAsia" w:ascii="宋体" w:hAnsi="宋体" w:cs="宋体"/>
          <w:color w:val="auto"/>
          <w:sz w:val="21"/>
          <w:szCs w:val="21"/>
        </w:rPr>
        <w:t>送货方式：每次根据采购人的电话或其它方式通知订购品种、数量后，按时运送到指定地点，</w:t>
      </w:r>
      <w:r>
        <w:rPr>
          <w:rFonts w:hint="eastAsia" w:ascii="宋体" w:hAnsi="宋体" w:cs="宋体"/>
          <w:color w:val="auto"/>
          <w:sz w:val="21"/>
          <w:szCs w:val="21"/>
          <w:lang w:eastAsia="zh-CN"/>
        </w:rPr>
        <w:t>成交人</w:t>
      </w:r>
      <w:r>
        <w:rPr>
          <w:rFonts w:hint="eastAsia" w:ascii="宋体" w:hAnsi="宋体" w:cs="宋体"/>
          <w:color w:val="auto"/>
          <w:sz w:val="21"/>
          <w:szCs w:val="21"/>
        </w:rPr>
        <w:t>随货提供注明货物名称、单位、数量、售价及总金额的商品送货清单（非常温储存条件的产品需冷藏设施配送），作为采购人入库验收之凭证。</w:t>
      </w:r>
    </w:p>
    <w:p>
      <w:pPr>
        <w:keepNext w:val="0"/>
        <w:keepLines w:val="0"/>
        <w:pageBreakBefore w:val="0"/>
        <w:widowControl/>
        <w:numPr>
          <w:ilvl w:val="0"/>
          <w:numId w:val="0"/>
        </w:numPr>
        <w:kinsoku/>
        <w:wordWrap/>
        <w:overflowPunct/>
        <w:topLinePunct w:val="0"/>
        <w:autoSpaceDE/>
        <w:autoSpaceDN/>
        <w:bidi w:val="0"/>
        <w:adjustRightInd w:val="0"/>
        <w:snapToGrid w:val="0"/>
        <w:spacing w:line="380" w:lineRule="exact"/>
        <w:ind w:firstLine="420" w:firstLineChars="200"/>
        <w:textAlignment w:val="auto"/>
        <w:rPr>
          <w:rFonts w:hint="eastAsia" w:ascii="宋体" w:hAnsi="宋体" w:cs="宋体"/>
          <w:color w:val="auto"/>
          <w:sz w:val="21"/>
          <w:szCs w:val="21"/>
        </w:rPr>
      </w:pPr>
      <w:r>
        <w:rPr>
          <w:rFonts w:hint="eastAsia" w:ascii="宋体" w:hAnsi="宋体" w:eastAsia="宋体" w:cs="宋体"/>
          <w:b w:val="0"/>
          <w:color w:val="auto"/>
          <w:kern w:val="2"/>
          <w:sz w:val="21"/>
          <w:szCs w:val="21"/>
          <w:lang w:val="en-US" w:eastAsia="zh-CN" w:bidi="ar-SA"/>
        </w:rPr>
        <w:t>1.</w:t>
      </w:r>
      <w:r>
        <w:rPr>
          <w:rFonts w:hint="eastAsia" w:ascii="宋体" w:hAnsi="宋体" w:cs="宋体"/>
          <w:color w:val="auto"/>
          <w:sz w:val="21"/>
          <w:szCs w:val="21"/>
        </w:rPr>
        <w:t>交货时间和地点：每天早上7：00至7：30准时送到信宜市</w:t>
      </w:r>
      <w:r>
        <w:rPr>
          <w:rFonts w:hint="eastAsia" w:ascii="宋体" w:hAnsi="宋体" w:cs="宋体"/>
          <w:color w:val="auto"/>
          <w:sz w:val="21"/>
          <w:szCs w:val="21"/>
          <w:lang w:eastAsia="zh-CN"/>
        </w:rPr>
        <w:t>中</w:t>
      </w:r>
      <w:r>
        <w:rPr>
          <w:rFonts w:hint="eastAsia" w:ascii="宋体" w:hAnsi="宋体" w:cs="宋体"/>
          <w:color w:val="auto"/>
          <w:sz w:val="21"/>
          <w:szCs w:val="21"/>
        </w:rPr>
        <w:t>医院饭堂。需随订随送，必须在1小时内响应。如果因</w:t>
      </w:r>
      <w:r>
        <w:rPr>
          <w:rFonts w:hint="eastAsia" w:ascii="宋体" w:hAnsi="宋体" w:cs="宋体"/>
          <w:color w:val="auto"/>
          <w:sz w:val="21"/>
          <w:szCs w:val="21"/>
          <w:lang w:eastAsia="zh-CN"/>
        </w:rPr>
        <w:t>成交人</w:t>
      </w:r>
      <w:r>
        <w:rPr>
          <w:rFonts w:hint="eastAsia" w:ascii="宋体" w:hAnsi="宋体" w:cs="宋体"/>
          <w:color w:val="auto"/>
          <w:sz w:val="21"/>
          <w:szCs w:val="21"/>
        </w:rPr>
        <w:t>原因未能兑现配送时间承诺，造成交货延误，作以下处理：</w:t>
      </w:r>
    </w:p>
    <w:p>
      <w:pPr>
        <w:keepNext w:val="0"/>
        <w:keepLines w:val="0"/>
        <w:pageBreakBefore w:val="0"/>
        <w:widowControl/>
        <w:numPr>
          <w:ilvl w:val="0"/>
          <w:numId w:val="0"/>
        </w:numPr>
        <w:tabs>
          <w:tab w:val="left" w:pos="0"/>
          <w:tab w:val="left" w:pos="284"/>
        </w:tabs>
        <w:kinsoku/>
        <w:wordWrap/>
        <w:overflowPunct/>
        <w:topLinePunct w:val="0"/>
        <w:autoSpaceDE/>
        <w:autoSpaceDN/>
        <w:bidi w:val="0"/>
        <w:spacing w:line="380" w:lineRule="exact"/>
        <w:ind w:firstLine="420" w:firstLineChars="200"/>
        <w:textAlignment w:val="auto"/>
        <w:outlineLvl w:val="1"/>
        <w:rPr>
          <w:rFonts w:hint="eastAsia" w:ascii="宋体" w:hAnsi="宋体" w:cs="宋体"/>
          <w:color w:val="auto"/>
          <w:sz w:val="21"/>
          <w:szCs w:val="21"/>
        </w:rPr>
      </w:pPr>
      <w:r>
        <w:rPr>
          <w:rFonts w:hint="default" w:ascii="宋体" w:hAnsi="宋体" w:eastAsia="宋体" w:cs="宋体"/>
          <w:color w:val="auto"/>
          <w:kern w:val="2"/>
          <w:sz w:val="21"/>
          <w:szCs w:val="21"/>
          <w:lang w:val="en-US" w:eastAsia="zh-CN" w:bidi="ar-SA"/>
        </w:rPr>
        <w:t>①</w:t>
      </w:r>
      <w:r>
        <w:rPr>
          <w:rFonts w:hint="eastAsia" w:ascii="宋体" w:hAnsi="宋体" w:cs="宋体"/>
          <w:color w:val="auto"/>
          <w:sz w:val="21"/>
          <w:szCs w:val="21"/>
        </w:rPr>
        <w:t>采购人对延时交货部分的货物可拒绝收货；</w:t>
      </w:r>
    </w:p>
    <w:p>
      <w:pPr>
        <w:keepNext w:val="0"/>
        <w:keepLines w:val="0"/>
        <w:pageBreakBefore w:val="0"/>
        <w:widowControl/>
        <w:numPr>
          <w:ilvl w:val="0"/>
          <w:numId w:val="0"/>
        </w:numPr>
        <w:tabs>
          <w:tab w:val="left" w:pos="0"/>
          <w:tab w:val="left" w:pos="284"/>
        </w:tabs>
        <w:kinsoku/>
        <w:wordWrap/>
        <w:overflowPunct/>
        <w:topLinePunct w:val="0"/>
        <w:autoSpaceDE/>
        <w:autoSpaceDN/>
        <w:bidi w:val="0"/>
        <w:spacing w:line="380" w:lineRule="exact"/>
        <w:ind w:firstLine="420" w:firstLineChars="200"/>
        <w:textAlignment w:val="auto"/>
        <w:outlineLvl w:val="1"/>
        <w:rPr>
          <w:rFonts w:hint="eastAsia" w:ascii="宋体" w:hAnsi="宋体" w:cs="宋体"/>
          <w:color w:val="auto"/>
          <w:sz w:val="21"/>
          <w:szCs w:val="21"/>
        </w:rPr>
      </w:pPr>
      <w:r>
        <w:rPr>
          <w:rFonts w:hint="default" w:ascii="宋体" w:hAnsi="宋体" w:eastAsia="宋体" w:cs="宋体"/>
          <w:color w:val="auto"/>
          <w:kern w:val="2"/>
          <w:sz w:val="21"/>
          <w:szCs w:val="21"/>
          <w:lang w:val="en-US" w:eastAsia="zh-CN" w:bidi="ar-SA"/>
        </w:rPr>
        <w:t>②</w:t>
      </w:r>
      <w:r>
        <w:rPr>
          <w:rFonts w:hint="eastAsia" w:ascii="宋体" w:hAnsi="宋体" w:cs="宋体"/>
          <w:color w:val="auto"/>
          <w:sz w:val="21"/>
          <w:szCs w:val="21"/>
        </w:rPr>
        <w:t>如非采购人需要延时交货的，</w:t>
      </w:r>
      <w:r>
        <w:rPr>
          <w:rFonts w:hint="eastAsia" w:ascii="宋体" w:hAnsi="宋体" w:cs="宋体"/>
          <w:color w:val="auto"/>
          <w:sz w:val="21"/>
          <w:szCs w:val="21"/>
          <w:lang w:eastAsia="zh-CN"/>
        </w:rPr>
        <w:t>成交人</w:t>
      </w:r>
      <w:r>
        <w:rPr>
          <w:rFonts w:hint="eastAsia" w:ascii="宋体" w:hAnsi="宋体" w:cs="宋体"/>
          <w:color w:val="auto"/>
          <w:sz w:val="21"/>
          <w:szCs w:val="21"/>
        </w:rPr>
        <w:t>延时交货对采购人的工作造成不良影响的，将对</w:t>
      </w:r>
      <w:r>
        <w:rPr>
          <w:rFonts w:hint="eastAsia" w:ascii="宋体" w:hAnsi="宋体" w:cs="宋体"/>
          <w:color w:val="auto"/>
          <w:sz w:val="21"/>
          <w:szCs w:val="21"/>
          <w:lang w:eastAsia="zh-CN"/>
        </w:rPr>
        <w:t>成交人</w:t>
      </w:r>
      <w:r>
        <w:rPr>
          <w:rFonts w:hint="eastAsia" w:ascii="宋体" w:hAnsi="宋体" w:cs="宋体"/>
          <w:color w:val="auto"/>
          <w:sz w:val="21"/>
          <w:szCs w:val="21"/>
        </w:rPr>
        <w:t>作以下处罚：</w:t>
      </w:r>
    </w:p>
    <w:p>
      <w:pPr>
        <w:keepNext w:val="0"/>
        <w:keepLines w:val="0"/>
        <w:pageBreakBefore w:val="0"/>
        <w:widowControl/>
        <w:tabs>
          <w:tab w:val="left" w:pos="0"/>
          <w:tab w:val="left" w:pos="284"/>
        </w:tabs>
        <w:kinsoku/>
        <w:wordWrap/>
        <w:overflowPunct/>
        <w:topLinePunct w:val="0"/>
        <w:autoSpaceDE/>
        <w:autoSpaceDN/>
        <w:bidi w:val="0"/>
        <w:spacing w:line="380" w:lineRule="exact"/>
        <w:ind w:left="315" w:firstLine="210" w:firstLineChars="100"/>
        <w:textAlignment w:val="auto"/>
        <w:outlineLvl w:val="1"/>
        <w:rPr>
          <w:rFonts w:hint="eastAsia" w:ascii="宋体" w:hAnsi="宋体" w:cs="宋体"/>
          <w:color w:val="auto"/>
          <w:sz w:val="21"/>
          <w:szCs w:val="21"/>
        </w:rPr>
      </w:pPr>
      <w:r>
        <w:rPr>
          <w:rFonts w:hint="eastAsia" w:ascii="宋体" w:hAnsi="宋体" w:cs="宋体"/>
          <w:color w:val="auto"/>
          <w:sz w:val="21"/>
          <w:szCs w:val="21"/>
        </w:rPr>
        <w:t>●超过半小时内（7：30至8：00）处罚当批货款的50%金额；</w:t>
      </w:r>
    </w:p>
    <w:p>
      <w:pPr>
        <w:keepNext w:val="0"/>
        <w:keepLines w:val="0"/>
        <w:pageBreakBefore w:val="0"/>
        <w:widowControl/>
        <w:tabs>
          <w:tab w:val="left" w:pos="0"/>
          <w:tab w:val="left" w:pos="284"/>
        </w:tabs>
        <w:kinsoku/>
        <w:wordWrap/>
        <w:overflowPunct/>
        <w:topLinePunct w:val="0"/>
        <w:autoSpaceDE/>
        <w:autoSpaceDN/>
        <w:bidi w:val="0"/>
        <w:spacing w:line="380" w:lineRule="exact"/>
        <w:ind w:left="315" w:firstLine="210" w:firstLineChars="100"/>
        <w:textAlignment w:val="auto"/>
        <w:outlineLvl w:val="1"/>
        <w:rPr>
          <w:rFonts w:hint="eastAsia" w:ascii="宋体" w:hAnsi="宋体" w:cs="宋体"/>
          <w:color w:val="auto"/>
          <w:sz w:val="21"/>
          <w:szCs w:val="21"/>
        </w:rPr>
      </w:pPr>
      <w:r>
        <w:rPr>
          <w:rFonts w:hint="eastAsia" w:ascii="宋体" w:hAnsi="宋体" w:cs="宋体"/>
          <w:color w:val="auto"/>
          <w:sz w:val="21"/>
          <w:szCs w:val="21"/>
        </w:rPr>
        <w:t>●超过半小时至1小时（7：30至8：30）不支付当批货款作为处罚；</w:t>
      </w:r>
    </w:p>
    <w:p>
      <w:pPr>
        <w:keepNext w:val="0"/>
        <w:keepLines w:val="0"/>
        <w:pageBreakBefore w:val="0"/>
        <w:widowControl/>
        <w:tabs>
          <w:tab w:val="left" w:pos="0"/>
          <w:tab w:val="left" w:pos="284"/>
        </w:tabs>
        <w:kinsoku/>
        <w:wordWrap/>
        <w:overflowPunct/>
        <w:topLinePunct w:val="0"/>
        <w:autoSpaceDE/>
        <w:autoSpaceDN/>
        <w:bidi w:val="0"/>
        <w:spacing w:line="380" w:lineRule="exact"/>
        <w:ind w:left="315" w:firstLine="210" w:firstLineChars="100"/>
        <w:textAlignment w:val="auto"/>
        <w:outlineLvl w:val="1"/>
        <w:rPr>
          <w:rFonts w:hint="eastAsia" w:ascii="宋体" w:hAnsi="宋体" w:cs="宋体"/>
          <w:color w:val="auto"/>
          <w:sz w:val="21"/>
          <w:szCs w:val="21"/>
        </w:rPr>
      </w:pPr>
      <w:r>
        <w:rPr>
          <w:rFonts w:hint="eastAsia" w:ascii="宋体" w:hAnsi="宋体" w:cs="宋体"/>
          <w:color w:val="auto"/>
          <w:sz w:val="21"/>
          <w:szCs w:val="21"/>
        </w:rPr>
        <w:t>●超过1小时以上的，采购方除不支付当批货款外，并处罚当批货款的2倍金额。</w:t>
      </w:r>
    </w:p>
    <w:p>
      <w:pPr>
        <w:keepNext w:val="0"/>
        <w:keepLines w:val="0"/>
        <w:pageBreakBefore w:val="0"/>
        <w:widowControl/>
        <w:tabs>
          <w:tab w:val="left" w:pos="0"/>
          <w:tab w:val="left" w:pos="284"/>
        </w:tabs>
        <w:kinsoku/>
        <w:wordWrap/>
        <w:overflowPunct/>
        <w:topLinePunct w:val="0"/>
        <w:autoSpaceDE/>
        <w:autoSpaceDN/>
        <w:bidi w:val="0"/>
        <w:spacing w:line="380" w:lineRule="exact"/>
        <w:ind w:left="315" w:firstLine="210" w:firstLineChars="100"/>
        <w:textAlignment w:val="auto"/>
        <w:outlineLvl w:val="1"/>
        <w:rPr>
          <w:rFonts w:hint="eastAsia" w:ascii="宋体" w:hAnsi="宋体" w:cs="宋体"/>
          <w:color w:val="auto"/>
          <w:sz w:val="21"/>
          <w:szCs w:val="21"/>
        </w:rPr>
      </w:pPr>
      <w:r>
        <w:rPr>
          <w:rFonts w:hint="eastAsia" w:ascii="宋体" w:hAnsi="宋体" w:cs="宋体"/>
          <w:color w:val="auto"/>
          <w:sz w:val="21"/>
          <w:szCs w:val="21"/>
        </w:rPr>
        <w:t>●发生延时交货同一个月份内达到两次的，采购方有权单方面终止采购合同取消其供货资格。</w:t>
      </w:r>
    </w:p>
    <w:p>
      <w:pPr>
        <w:keepNext w:val="0"/>
        <w:keepLines w:val="0"/>
        <w:pageBreakBefore w:val="0"/>
        <w:widowControl/>
        <w:kinsoku/>
        <w:wordWrap/>
        <w:overflowPunct/>
        <w:topLinePunct w:val="0"/>
        <w:autoSpaceDE/>
        <w:autoSpaceDN/>
        <w:bidi w:val="0"/>
        <w:adjustRightInd w:val="0"/>
        <w:snapToGrid w:val="0"/>
        <w:spacing w:line="380" w:lineRule="exact"/>
        <w:ind w:firstLine="420" w:firstLineChars="200"/>
        <w:jc w:val="left"/>
        <w:textAlignment w:val="auto"/>
        <w:rPr>
          <w:rFonts w:hint="eastAsia" w:ascii="宋体" w:hAnsi="宋体" w:cs="宋体"/>
          <w:color w:val="auto"/>
          <w:sz w:val="21"/>
          <w:szCs w:val="21"/>
        </w:rPr>
      </w:pPr>
      <w:r>
        <w:rPr>
          <w:rFonts w:hint="eastAsia" w:ascii="宋体" w:hAnsi="宋体" w:cs="宋体"/>
          <w:color w:val="auto"/>
          <w:sz w:val="21"/>
          <w:szCs w:val="21"/>
        </w:rPr>
        <w:t>一年合同期内达到五次或以上的，今后将作为不合格供应商列入黑名单，不能参加采购人今后任何的招标采购活动。</w:t>
      </w:r>
    </w:p>
    <w:p>
      <w:pPr>
        <w:keepNext w:val="0"/>
        <w:keepLines w:val="0"/>
        <w:pageBreakBefore w:val="0"/>
        <w:widowControl/>
        <w:numPr>
          <w:ilvl w:val="0"/>
          <w:numId w:val="0"/>
        </w:numPr>
        <w:kinsoku/>
        <w:wordWrap/>
        <w:overflowPunct/>
        <w:topLinePunct w:val="0"/>
        <w:autoSpaceDE/>
        <w:autoSpaceDN/>
        <w:bidi w:val="0"/>
        <w:adjustRightInd w:val="0"/>
        <w:snapToGrid w:val="0"/>
        <w:spacing w:line="380" w:lineRule="exact"/>
        <w:ind w:firstLine="420" w:firstLineChars="200"/>
        <w:textAlignment w:val="auto"/>
        <w:rPr>
          <w:rFonts w:hint="eastAsia" w:ascii="宋体" w:hAnsi="宋体" w:cs="宋体"/>
          <w:color w:val="auto"/>
          <w:sz w:val="21"/>
          <w:szCs w:val="21"/>
        </w:rPr>
      </w:pPr>
      <w:r>
        <w:rPr>
          <w:rFonts w:hint="eastAsia" w:ascii="宋体" w:hAnsi="宋体" w:eastAsia="宋体" w:cs="宋体"/>
          <w:b w:val="0"/>
          <w:color w:val="auto"/>
          <w:kern w:val="2"/>
          <w:sz w:val="21"/>
          <w:szCs w:val="21"/>
          <w:lang w:val="en-US" w:eastAsia="zh-CN" w:bidi="ar-SA"/>
        </w:rPr>
        <w:t>2.</w:t>
      </w:r>
      <w:r>
        <w:rPr>
          <w:rFonts w:hint="eastAsia" w:ascii="宋体" w:hAnsi="宋体" w:cs="宋体"/>
          <w:color w:val="auto"/>
          <w:sz w:val="21"/>
          <w:szCs w:val="21"/>
        </w:rPr>
        <w:t>包装与标志要求：包装：容器(框、箱、袋)要求清洁、干燥、牢固、透气，无污染、无异味、无霉变现象。</w:t>
      </w:r>
    </w:p>
    <w:p>
      <w:pPr>
        <w:keepNext w:val="0"/>
        <w:keepLines w:val="0"/>
        <w:pageBreakBefore w:val="0"/>
        <w:widowControl/>
        <w:numPr>
          <w:ilvl w:val="0"/>
          <w:numId w:val="0"/>
        </w:numPr>
        <w:kinsoku/>
        <w:wordWrap/>
        <w:overflowPunct/>
        <w:topLinePunct w:val="0"/>
        <w:autoSpaceDE/>
        <w:autoSpaceDN/>
        <w:bidi w:val="0"/>
        <w:adjustRightInd w:val="0"/>
        <w:snapToGrid w:val="0"/>
        <w:spacing w:line="380" w:lineRule="exact"/>
        <w:ind w:firstLine="420" w:firstLineChars="200"/>
        <w:textAlignment w:val="auto"/>
        <w:rPr>
          <w:rFonts w:hint="eastAsia" w:ascii="宋体" w:hAnsi="宋体" w:cs="宋体"/>
          <w:color w:val="auto"/>
          <w:sz w:val="21"/>
          <w:szCs w:val="21"/>
        </w:rPr>
      </w:pPr>
      <w:r>
        <w:rPr>
          <w:rFonts w:hint="eastAsia" w:ascii="宋体" w:hAnsi="宋体" w:eastAsia="宋体" w:cs="宋体"/>
          <w:b w:val="0"/>
          <w:color w:val="auto"/>
          <w:kern w:val="2"/>
          <w:sz w:val="21"/>
          <w:szCs w:val="21"/>
          <w:lang w:val="en-US" w:eastAsia="zh-CN" w:bidi="ar-SA"/>
        </w:rPr>
        <w:t>3.</w:t>
      </w:r>
      <w:r>
        <w:rPr>
          <w:rFonts w:hint="eastAsia" w:ascii="宋体" w:hAnsi="宋体" w:cs="宋体"/>
          <w:color w:val="auto"/>
          <w:sz w:val="21"/>
          <w:szCs w:val="21"/>
        </w:rPr>
        <w:t>数量方面要求：保证配送品种斤两的准确性，以采购人的验货数量为准，</w:t>
      </w:r>
      <w:r>
        <w:rPr>
          <w:rFonts w:hint="eastAsia" w:ascii="宋体" w:hAnsi="宋体" w:cs="宋体"/>
          <w:color w:val="auto"/>
          <w:sz w:val="21"/>
          <w:szCs w:val="21"/>
          <w:lang w:eastAsia="zh-CN"/>
        </w:rPr>
        <w:t>成交人</w:t>
      </w:r>
      <w:r>
        <w:rPr>
          <w:rFonts w:hint="eastAsia" w:ascii="宋体" w:hAnsi="宋体" w:cs="宋体"/>
          <w:color w:val="auto"/>
          <w:sz w:val="21"/>
          <w:szCs w:val="21"/>
        </w:rPr>
        <w:t>每次随货开具一式叁份的送货清单，供双方验货后签字确认，作为送、收货的凭证。采购人执贰份，</w:t>
      </w:r>
      <w:r>
        <w:rPr>
          <w:rFonts w:hint="eastAsia" w:ascii="宋体" w:hAnsi="宋体" w:cs="宋体"/>
          <w:color w:val="auto"/>
          <w:sz w:val="21"/>
          <w:szCs w:val="21"/>
          <w:lang w:eastAsia="zh-CN"/>
        </w:rPr>
        <w:t>成交人</w:t>
      </w:r>
      <w:r>
        <w:rPr>
          <w:rFonts w:hint="eastAsia" w:ascii="宋体" w:hAnsi="宋体" w:cs="宋体"/>
          <w:color w:val="auto"/>
          <w:sz w:val="21"/>
          <w:szCs w:val="21"/>
        </w:rPr>
        <w:t>执一份。</w:t>
      </w:r>
    </w:p>
    <w:p>
      <w:pPr>
        <w:keepNext w:val="0"/>
        <w:keepLines w:val="0"/>
        <w:pageBreakBefore w:val="0"/>
        <w:widowControl/>
        <w:numPr>
          <w:ilvl w:val="0"/>
          <w:numId w:val="0"/>
        </w:numPr>
        <w:kinsoku/>
        <w:wordWrap/>
        <w:overflowPunct/>
        <w:topLinePunct w:val="0"/>
        <w:autoSpaceDE/>
        <w:autoSpaceDN/>
        <w:bidi w:val="0"/>
        <w:adjustRightInd w:val="0"/>
        <w:snapToGrid w:val="0"/>
        <w:spacing w:line="380" w:lineRule="exact"/>
        <w:ind w:firstLine="420" w:firstLineChars="200"/>
        <w:textAlignment w:val="auto"/>
        <w:rPr>
          <w:rFonts w:hint="eastAsia" w:ascii="宋体" w:hAnsi="宋体" w:cs="宋体"/>
          <w:color w:val="auto"/>
          <w:sz w:val="21"/>
          <w:szCs w:val="21"/>
        </w:rPr>
      </w:pPr>
      <w:r>
        <w:rPr>
          <w:rFonts w:hint="eastAsia" w:ascii="宋体" w:hAnsi="宋体" w:eastAsia="宋体" w:cs="宋体"/>
          <w:b w:val="0"/>
          <w:color w:val="auto"/>
          <w:kern w:val="2"/>
          <w:sz w:val="21"/>
          <w:szCs w:val="21"/>
          <w:lang w:val="en-US" w:eastAsia="zh-CN" w:bidi="ar-SA"/>
        </w:rPr>
        <w:t>4.</w:t>
      </w:r>
      <w:r>
        <w:rPr>
          <w:rFonts w:hint="eastAsia" w:ascii="宋体" w:hAnsi="宋体" w:cs="宋体"/>
          <w:color w:val="auto"/>
          <w:sz w:val="21"/>
          <w:szCs w:val="21"/>
        </w:rPr>
        <w:t>配送人员按采购人通知订购的品种和数量送到指定地点后，由采购人指定负责人验收过秤记录。对于不符合质量的品种采购人可换货。一旦发现需换货处理，</w:t>
      </w:r>
      <w:r>
        <w:rPr>
          <w:rFonts w:hint="eastAsia" w:ascii="宋体" w:hAnsi="宋体" w:cs="宋体"/>
          <w:color w:val="auto"/>
          <w:sz w:val="21"/>
          <w:szCs w:val="21"/>
          <w:lang w:eastAsia="zh-CN"/>
        </w:rPr>
        <w:t>成交方</w:t>
      </w:r>
      <w:r>
        <w:rPr>
          <w:rFonts w:hint="eastAsia" w:ascii="宋体" w:hAnsi="宋体" w:cs="宋体"/>
          <w:color w:val="auto"/>
          <w:sz w:val="21"/>
          <w:szCs w:val="21"/>
        </w:rPr>
        <w:t>需立即更换，要求在1小时内将合格货物交给采购人。</w:t>
      </w:r>
    </w:p>
    <w:p>
      <w:pPr>
        <w:keepNext w:val="0"/>
        <w:keepLines w:val="0"/>
        <w:pageBreakBefore w:val="0"/>
        <w:widowControl/>
        <w:numPr>
          <w:ilvl w:val="0"/>
          <w:numId w:val="0"/>
        </w:numPr>
        <w:kinsoku/>
        <w:wordWrap/>
        <w:overflowPunct/>
        <w:topLinePunct w:val="0"/>
        <w:autoSpaceDE/>
        <w:autoSpaceDN/>
        <w:bidi w:val="0"/>
        <w:adjustRightInd w:val="0"/>
        <w:snapToGrid w:val="0"/>
        <w:spacing w:line="380" w:lineRule="exact"/>
        <w:ind w:firstLine="420" w:firstLineChars="200"/>
        <w:textAlignment w:val="auto"/>
        <w:rPr>
          <w:rFonts w:hint="eastAsia"/>
          <w:color w:val="auto"/>
        </w:rPr>
      </w:pPr>
      <w:r>
        <w:rPr>
          <w:rFonts w:hint="eastAsia" w:ascii="宋体" w:hAnsi="宋体" w:eastAsia="宋体" w:cs="Times New Roman"/>
          <w:b w:val="0"/>
          <w:color w:val="auto"/>
          <w:kern w:val="2"/>
          <w:sz w:val="21"/>
          <w:szCs w:val="24"/>
          <w:lang w:val="en-US" w:eastAsia="zh-CN" w:bidi="ar-SA"/>
        </w:rPr>
        <w:t>5.</w:t>
      </w:r>
      <w:r>
        <w:rPr>
          <w:rFonts w:hint="eastAsia" w:ascii="宋体" w:hAnsi="宋体" w:cs="宋体"/>
          <w:color w:val="auto"/>
          <w:sz w:val="21"/>
          <w:szCs w:val="21"/>
        </w:rPr>
        <w:t>对采购人临时的供货要求，需随订随送，至少在1个小时内响应。</w:t>
      </w:r>
    </w:p>
    <w:p>
      <w:pPr>
        <w:tabs>
          <w:tab w:val="left" w:pos="3210"/>
        </w:tabs>
        <w:spacing w:line="380" w:lineRule="exact"/>
        <w:rPr>
          <w:rFonts w:hint="eastAsia" w:ascii="宋体" w:hAnsi="宋体" w:cs="宋体"/>
          <w:b/>
          <w:bCs/>
          <w:color w:val="auto"/>
          <w:sz w:val="21"/>
          <w:szCs w:val="21"/>
        </w:rPr>
      </w:pPr>
      <w:r>
        <w:rPr>
          <w:rFonts w:hint="eastAsia" w:ascii="宋体" w:hAnsi="宋体" w:cs="宋体"/>
          <w:b/>
          <w:bCs/>
          <w:color w:val="auto"/>
          <w:sz w:val="21"/>
          <w:szCs w:val="21"/>
          <w:lang w:eastAsia="zh-CN"/>
        </w:rPr>
        <w:t>（</w:t>
      </w:r>
      <w:r>
        <w:rPr>
          <w:rFonts w:hint="eastAsia" w:ascii="宋体" w:hAnsi="宋体" w:cs="宋体"/>
          <w:b/>
          <w:bCs/>
          <w:color w:val="auto"/>
          <w:sz w:val="21"/>
          <w:szCs w:val="21"/>
          <w:lang w:val="en-US" w:eastAsia="zh-CN"/>
        </w:rPr>
        <w:t>五</w:t>
      </w:r>
      <w:r>
        <w:rPr>
          <w:rFonts w:hint="eastAsia" w:ascii="宋体" w:hAnsi="宋体" w:cs="宋体"/>
          <w:b/>
          <w:bCs/>
          <w:color w:val="auto"/>
          <w:sz w:val="21"/>
          <w:szCs w:val="21"/>
          <w:lang w:eastAsia="zh-CN"/>
        </w:rPr>
        <w:t>）</w:t>
      </w:r>
      <w:r>
        <w:rPr>
          <w:rFonts w:hint="eastAsia" w:ascii="宋体" w:hAnsi="宋体" w:cs="宋体"/>
          <w:b/>
          <w:bCs/>
          <w:color w:val="auto"/>
          <w:sz w:val="21"/>
          <w:szCs w:val="21"/>
        </w:rPr>
        <w:t>货物验收：</w:t>
      </w:r>
    </w:p>
    <w:p>
      <w:pPr>
        <w:spacing w:line="380" w:lineRule="exact"/>
        <w:ind w:firstLine="514" w:firstLineChars="245"/>
        <w:rPr>
          <w:rFonts w:hint="eastAsia" w:ascii="宋体" w:hAnsi="宋体" w:cs="宋体"/>
          <w:color w:val="auto"/>
          <w:sz w:val="21"/>
          <w:szCs w:val="21"/>
        </w:rPr>
      </w:pPr>
      <w:r>
        <w:rPr>
          <w:rFonts w:hint="eastAsia" w:ascii="宋体" w:hAnsi="宋体" w:cs="宋体"/>
          <w:color w:val="auto"/>
          <w:sz w:val="21"/>
          <w:szCs w:val="21"/>
        </w:rPr>
        <w:t>对于</w:t>
      </w:r>
      <w:r>
        <w:rPr>
          <w:rFonts w:hint="eastAsia" w:ascii="宋体" w:hAnsi="宋体" w:cs="宋体"/>
          <w:color w:val="auto"/>
          <w:sz w:val="21"/>
          <w:szCs w:val="21"/>
          <w:lang w:eastAsia="zh-CN"/>
        </w:rPr>
        <w:t>成交人</w:t>
      </w:r>
      <w:r>
        <w:rPr>
          <w:rFonts w:hint="eastAsia" w:ascii="宋体" w:hAnsi="宋体" w:cs="宋体"/>
          <w:color w:val="auto"/>
          <w:sz w:val="21"/>
          <w:szCs w:val="21"/>
        </w:rPr>
        <w:t>送达的货物，由采购人（用户）派出负责人员检查及签收，签收前将对送达产品的包装完好情况、污染情况、霉变情况、产品来源、质量检验报告、零售价格、交付数量等信息情况进行检查登记，以确保产品质量、产品来源符合要求，并为产品结算提供依据，所验收的货物质量应与招标文件、</w:t>
      </w:r>
      <w:r>
        <w:rPr>
          <w:rFonts w:hint="eastAsia" w:ascii="宋体" w:hAnsi="宋体" w:cs="宋体"/>
          <w:color w:val="auto"/>
          <w:sz w:val="21"/>
          <w:szCs w:val="21"/>
          <w:lang w:eastAsia="zh-CN"/>
        </w:rPr>
        <w:t>成交方</w:t>
      </w:r>
      <w:r>
        <w:rPr>
          <w:rFonts w:hint="eastAsia" w:ascii="宋体" w:hAnsi="宋体" w:cs="宋体"/>
          <w:color w:val="auto"/>
          <w:sz w:val="21"/>
          <w:szCs w:val="21"/>
        </w:rPr>
        <w:t>投标文件响应的各种类货物的具体质量要求相一致。</w:t>
      </w:r>
    </w:p>
    <w:p>
      <w:pPr>
        <w:numPr>
          <w:ilvl w:val="0"/>
          <w:numId w:val="13"/>
        </w:numPr>
        <w:spacing w:line="380" w:lineRule="exact"/>
        <w:rPr>
          <w:rFonts w:hint="eastAsia" w:ascii="宋体" w:hAnsi="宋体" w:cs="宋体"/>
          <w:b/>
          <w:bCs/>
          <w:color w:val="auto"/>
          <w:sz w:val="21"/>
          <w:szCs w:val="21"/>
        </w:rPr>
      </w:pPr>
      <w:r>
        <w:rPr>
          <w:rFonts w:hint="eastAsia" w:ascii="宋体" w:hAnsi="宋体" w:cs="宋体"/>
          <w:b/>
          <w:bCs/>
          <w:color w:val="auto"/>
          <w:sz w:val="21"/>
          <w:szCs w:val="21"/>
        </w:rPr>
        <w:t>服务期限：</w:t>
      </w:r>
    </w:p>
    <w:p>
      <w:pPr>
        <w:numPr>
          <w:ilvl w:val="0"/>
          <w:numId w:val="0"/>
        </w:numPr>
        <w:spacing w:line="380" w:lineRule="exact"/>
        <w:ind w:firstLine="422" w:firstLineChars="200"/>
        <w:rPr>
          <w:rFonts w:hint="eastAsia" w:ascii="宋体" w:hAnsi="宋体" w:cs="宋体"/>
          <w:b/>
          <w:bCs/>
          <w:color w:val="auto"/>
          <w:sz w:val="21"/>
          <w:szCs w:val="21"/>
        </w:rPr>
      </w:pPr>
      <w:r>
        <w:rPr>
          <w:rFonts w:hint="eastAsia" w:ascii="宋体" w:hAnsi="宋体" w:cs="宋体"/>
          <w:b/>
          <w:bCs/>
          <w:color w:val="auto"/>
          <w:sz w:val="21"/>
          <w:szCs w:val="21"/>
        </w:rPr>
        <w:t xml:space="preserve">自合同签订生效之日起 </w:t>
      </w:r>
      <w:r>
        <w:rPr>
          <w:rFonts w:hint="eastAsia" w:ascii="宋体" w:hAnsi="宋体" w:cs="宋体"/>
          <w:b/>
          <w:bCs/>
          <w:color w:val="auto"/>
          <w:sz w:val="21"/>
          <w:szCs w:val="21"/>
          <w:lang w:val="en-US" w:eastAsia="zh-CN"/>
        </w:rPr>
        <w:t xml:space="preserve">1 </w:t>
      </w:r>
      <w:r>
        <w:rPr>
          <w:rFonts w:hint="eastAsia" w:ascii="宋体" w:hAnsi="宋体" w:cs="宋体"/>
          <w:b/>
          <w:bCs/>
          <w:color w:val="auto"/>
          <w:sz w:val="21"/>
          <w:szCs w:val="21"/>
        </w:rPr>
        <w:t>年。</w:t>
      </w:r>
    </w:p>
    <w:p>
      <w:pPr>
        <w:pStyle w:val="23"/>
        <w:numPr>
          <w:ilvl w:val="0"/>
          <w:numId w:val="0"/>
        </w:numPr>
        <w:tabs>
          <w:tab w:val="left" w:pos="2340"/>
        </w:tabs>
        <w:spacing w:line="380" w:lineRule="exact"/>
        <w:rPr>
          <w:rFonts w:hint="eastAsia" w:ascii="宋体" w:hAnsi="宋体" w:cs="宋体"/>
          <w:b/>
          <w:bCs/>
          <w:color w:val="auto"/>
          <w:sz w:val="21"/>
          <w:szCs w:val="21"/>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七</w:t>
      </w:r>
      <w:r>
        <w:rPr>
          <w:rFonts w:hint="eastAsia" w:ascii="宋体" w:hAnsi="宋体" w:eastAsia="宋体" w:cs="宋体"/>
          <w:b/>
          <w:bCs/>
          <w:color w:val="auto"/>
          <w:sz w:val="21"/>
          <w:szCs w:val="21"/>
          <w:lang w:eastAsia="zh-CN"/>
        </w:rPr>
        <w:t>）</w:t>
      </w:r>
      <w:r>
        <w:rPr>
          <w:rFonts w:hint="eastAsia" w:ascii="宋体" w:hAnsi="宋体" w:cs="宋体"/>
          <w:b/>
          <w:bCs/>
          <w:color w:val="auto"/>
          <w:sz w:val="21"/>
          <w:szCs w:val="21"/>
        </w:rPr>
        <w:t>报价要求：</w:t>
      </w:r>
    </w:p>
    <w:p>
      <w:pPr>
        <w:numPr>
          <w:ilvl w:val="0"/>
          <w:numId w:val="14"/>
        </w:numPr>
        <w:tabs>
          <w:tab w:val="left" w:pos="3210"/>
        </w:tabs>
        <w:spacing w:line="380" w:lineRule="exact"/>
        <w:ind w:left="0" w:leftChars="0" w:firstLine="400" w:firstLineChars="0"/>
        <w:rPr>
          <w:rFonts w:hint="eastAsia" w:ascii="宋体" w:hAnsi="宋体" w:cs="宋体"/>
          <w:color w:val="auto"/>
          <w:sz w:val="21"/>
          <w:szCs w:val="21"/>
        </w:rPr>
      </w:pPr>
      <w:r>
        <w:rPr>
          <w:rFonts w:hint="eastAsia" w:ascii="宋体" w:hAnsi="宋体" w:cs="宋体"/>
          <w:color w:val="auto"/>
          <w:sz w:val="21"/>
          <w:szCs w:val="21"/>
        </w:rPr>
        <w:t>投标人报价统一采用下浮率的形式进行</w:t>
      </w:r>
      <w:r>
        <w:rPr>
          <w:rFonts w:hint="eastAsia" w:ascii="宋体" w:hAnsi="宋体" w:cs="宋体"/>
          <w:color w:val="auto"/>
          <w:sz w:val="21"/>
          <w:szCs w:val="21"/>
          <w:lang w:eastAsia="zh-CN"/>
        </w:rPr>
        <w:t>，即食材</w:t>
      </w:r>
      <w:r>
        <w:rPr>
          <w:rFonts w:hint="eastAsia" w:ascii="宋体" w:hAnsi="宋体" w:cs="宋体"/>
          <w:color w:val="auto"/>
          <w:sz w:val="21"/>
          <w:szCs w:val="21"/>
        </w:rPr>
        <w:t>实际采购单价</w:t>
      </w:r>
      <w:r>
        <w:rPr>
          <w:rFonts w:hint="eastAsia" w:ascii="宋体" w:hAnsi="宋体" w:cs="宋体"/>
          <w:color w:val="auto"/>
          <w:sz w:val="21"/>
          <w:szCs w:val="21"/>
          <w:lang w:val="en-US" w:eastAsia="zh-CN"/>
        </w:rPr>
        <w:t>=</w:t>
      </w:r>
      <w:r>
        <w:rPr>
          <w:rFonts w:hint="eastAsia" w:ascii="宋体" w:hAnsi="宋体" w:cs="宋体"/>
          <w:color w:val="auto"/>
          <w:sz w:val="21"/>
          <w:szCs w:val="21"/>
        </w:rPr>
        <w:t>基准单价</w:t>
      </w:r>
      <w:r>
        <w:rPr>
          <w:rFonts w:hint="eastAsia" w:ascii="宋体" w:hAnsi="宋体" w:cs="宋体"/>
          <w:color w:val="auto"/>
          <w:sz w:val="21"/>
          <w:szCs w:val="21"/>
          <w:lang w:val="en-US" w:eastAsia="zh-CN"/>
        </w:rPr>
        <w:t>*（1-</w:t>
      </w:r>
      <w:r>
        <w:rPr>
          <w:rFonts w:hint="eastAsia" w:hAnsi="宋体" w:cs="Arial"/>
          <w:color w:val="auto"/>
          <w:sz w:val="21"/>
          <w:szCs w:val="21"/>
        </w:rPr>
        <w:t>投标报价</w:t>
      </w:r>
      <w:r>
        <w:rPr>
          <w:rFonts w:hint="eastAsia" w:ascii="宋体" w:hAnsi="宋体" w:cs="宋体"/>
          <w:color w:val="auto"/>
          <w:sz w:val="21"/>
          <w:szCs w:val="21"/>
        </w:rPr>
        <w:t>下浮率</w:t>
      </w:r>
      <w:r>
        <w:rPr>
          <w:rFonts w:hint="eastAsia" w:ascii="宋体" w:hAnsi="宋体" w:cs="宋体"/>
          <w:color w:val="auto"/>
          <w:sz w:val="21"/>
          <w:szCs w:val="21"/>
          <w:lang w:val="en-US" w:eastAsia="zh-CN"/>
        </w:rPr>
        <w:t>）</w:t>
      </w:r>
      <w:r>
        <w:rPr>
          <w:rFonts w:hint="eastAsia" w:ascii="宋体" w:hAnsi="宋体" w:cs="宋体"/>
          <w:color w:val="auto"/>
          <w:sz w:val="21"/>
          <w:szCs w:val="21"/>
          <w:lang w:eastAsia="zh-CN"/>
        </w:rPr>
        <w:t>。</w:t>
      </w:r>
    </w:p>
    <w:p>
      <w:pPr>
        <w:pStyle w:val="23"/>
        <w:numPr>
          <w:ilvl w:val="0"/>
          <w:numId w:val="14"/>
        </w:numPr>
        <w:tabs>
          <w:tab w:val="left" w:pos="2340"/>
        </w:tabs>
        <w:spacing w:line="380" w:lineRule="exact"/>
        <w:ind w:left="0" w:leftChars="0" w:firstLine="400" w:firstLineChars="0"/>
        <w:rPr>
          <w:rFonts w:hint="eastAsia" w:ascii="宋体" w:hAnsi="宋体" w:cs="宋体"/>
          <w:color w:val="auto"/>
          <w:sz w:val="21"/>
          <w:szCs w:val="21"/>
          <w:highlight w:val="none"/>
        </w:rPr>
      </w:pPr>
      <w:r>
        <w:rPr>
          <w:rFonts w:hint="eastAsia" w:ascii="宋体" w:hAnsi="宋体" w:cs="宋体"/>
          <w:color w:val="auto"/>
          <w:sz w:val="21"/>
          <w:szCs w:val="21"/>
        </w:rPr>
        <w:t>每个品种的基准单价采集方式：每月的</w:t>
      </w:r>
      <w:r>
        <w:rPr>
          <w:rFonts w:hint="eastAsia" w:ascii="宋体" w:hAnsi="宋体" w:cs="宋体"/>
          <w:color w:val="auto"/>
          <w:sz w:val="21"/>
          <w:szCs w:val="21"/>
          <w:lang w:val="en-US" w:eastAsia="zh-CN"/>
        </w:rPr>
        <w:t>25</w:t>
      </w:r>
      <w:r>
        <w:rPr>
          <w:rFonts w:hint="eastAsia" w:ascii="宋体" w:hAnsi="宋体" w:cs="宋体"/>
          <w:color w:val="auto"/>
          <w:sz w:val="21"/>
          <w:szCs w:val="21"/>
        </w:rPr>
        <w:t>至</w:t>
      </w:r>
      <w:r>
        <w:rPr>
          <w:rFonts w:hint="eastAsia" w:ascii="宋体" w:hAnsi="宋体" w:cs="宋体"/>
          <w:color w:val="auto"/>
          <w:sz w:val="21"/>
          <w:szCs w:val="21"/>
          <w:lang w:val="en-US" w:eastAsia="zh-CN"/>
        </w:rPr>
        <w:t>30</w:t>
      </w:r>
      <w:r>
        <w:rPr>
          <w:rFonts w:hint="eastAsia" w:ascii="宋体" w:hAnsi="宋体" w:cs="宋体"/>
          <w:color w:val="auto"/>
          <w:sz w:val="21"/>
          <w:szCs w:val="21"/>
        </w:rPr>
        <w:t>日内，由采购方与</w:t>
      </w:r>
      <w:r>
        <w:rPr>
          <w:rFonts w:hint="eastAsia" w:ascii="宋体" w:hAnsi="宋体" w:eastAsia="宋体" w:cs="宋体"/>
          <w:color w:val="auto"/>
          <w:sz w:val="21"/>
          <w:szCs w:val="21"/>
          <w:lang w:eastAsia="zh-CN"/>
        </w:rPr>
        <w:t>成交方</w:t>
      </w:r>
      <w:r>
        <w:rPr>
          <w:rFonts w:hint="eastAsia" w:ascii="宋体" w:hAnsi="宋体" w:cs="宋体"/>
          <w:color w:val="auto"/>
          <w:sz w:val="21"/>
          <w:szCs w:val="21"/>
        </w:rPr>
        <w:t>约定时间及每个品种的采购质量档次标准，共同对三大</w:t>
      </w:r>
      <w:r>
        <w:rPr>
          <w:rFonts w:hint="eastAsia" w:ascii="宋体" w:hAnsi="宋体" w:cs="宋体"/>
          <w:color w:val="auto"/>
          <w:sz w:val="21"/>
          <w:szCs w:val="21"/>
          <w:lang w:eastAsia="zh-CN"/>
        </w:rPr>
        <w:t>超市</w:t>
      </w:r>
      <w:r>
        <w:rPr>
          <w:rFonts w:hint="eastAsia" w:hAnsi="宋体" w:cs="宋体"/>
          <w:color w:val="auto"/>
          <w:sz w:val="21"/>
          <w:szCs w:val="21"/>
          <w:lang w:eastAsia="zh-CN"/>
        </w:rPr>
        <w:t>、</w:t>
      </w:r>
      <w:r>
        <w:rPr>
          <w:rFonts w:hint="eastAsia" w:hAnsi="宋体" w:cs="宋体"/>
          <w:color w:val="auto"/>
          <w:sz w:val="21"/>
          <w:szCs w:val="21"/>
          <w:highlight w:val="none"/>
          <w:lang w:eastAsia="zh-CN"/>
        </w:rPr>
        <w:t>三大市场食材进行</w:t>
      </w:r>
      <w:r>
        <w:rPr>
          <w:rFonts w:hint="eastAsia" w:ascii="宋体" w:hAnsi="宋体" w:cs="宋体"/>
          <w:color w:val="auto"/>
          <w:sz w:val="21"/>
          <w:szCs w:val="21"/>
          <w:highlight w:val="none"/>
        </w:rPr>
        <w:t>价格咨询。每个品种</w:t>
      </w:r>
      <w:r>
        <w:rPr>
          <w:rFonts w:hint="eastAsia" w:hAnsi="宋体" w:cs="宋体"/>
          <w:color w:val="auto"/>
          <w:sz w:val="21"/>
          <w:szCs w:val="21"/>
          <w:highlight w:val="none"/>
          <w:lang w:eastAsia="zh-CN"/>
        </w:rPr>
        <w:t>由三大超市或</w:t>
      </w:r>
      <w:r>
        <w:rPr>
          <w:rFonts w:hint="eastAsia" w:ascii="宋体" w:hAnsi="宋体" w:cs="宋体"/>
          <w:color w:val="auto"/>
          <w:sz w:val="21"/>
          <w:szCs w:val="21"/>
          <w:highlight w:val="none"/>
        </w:rPr>
        <w:t>三大市场的均价</w:t>
      </w:r>
      <w:r>
        <w:rPr>
          <w:rFonts w:hint="eastAsia" w:hAnsi="宋体" w:cs="宋体"/>
          <w:color w:val="auto"/>
          <w:sz w:val="21"/>
          <w:szCs w:val="21"/>
          <w:highlight w:val="none"/>
          <w:lang w:eastAsia="zh-CN"/>
        </w:rPr>
        <w:t>确定</w:t>
      </w:r>
      <w:r>
        <w:rPr>
          <w:rFonts w:hint="eastAsia" w:ascii="宋体" w:hAnsi="宋体" w:cs="宋体"/>
          <w:color w:val="auto"/>
          <w:sz w:val="21"/>
          <w:szCs w:val="21"/>
          <w:highlight w:val="none"/>
          <w:lang w:eastAsia="zh-CN"/>
        </w:rPr>
        <w:t>次月</w:t>
      </w:r>
      <w:r>
        <w:rPr>
          <w:rFonts w:hint="eastAsia" w:ascii="宋体" w:hAnsi="宋体" w:cs="宋体"/>
          <w:color w:val="auto"/>
          <w:sz w:val="21"/>
          <w:szCs w:val="21"/>
          <w:highlight w:val="none"/>
        </w:rPr>
        <w:t>的采购基准单价。</w:t>
      </w:r>
      <w:r>
        <w:rPr>
          <w:rFonts w:hint="eastAsia" w:hAnsi="宋体" w:cs="宋体"/>
          <w:color w:val="auto"/>
          <w:sz w:val="21"/>
          <w:szCs w:val="21"/>
          <w:highlight w:val="none"/>
          <w:lang w:eastAsia="zh-CN"/>
        </w:rPr>
        <w:t>并对</w:t>
      </w:r>
      <w:r>
        <w:rPr>
          <w:rFonts w:hint="eastAsia" w:hAnsi="宋体" w:cs="宋体"/>
          <w:bCs/>
          <w:color w:val="auto"/>
          <w:sz w:val="21"/>
          <w:szCs w:val="21"/>
          <w:highlight w:val="none"/>
          <w:lang w:eastAsia="zh-CN"/>
        </w:rPr>
        <w:t>当地品牌面包、</w:t>
      </w:r>
      <w:r>
        <w:rPr>
          <w:rFonts w:hint="eastAsia" w:ascii="宋体" w:hAnsi="宋体" w:cs="宋体"/>
          <w:color w:val="auto"/>
          <w:sz w:val="21"/>
          <w:szCs w:val="21"/>
          <w:highlight w:val="none"/>
          <w:lang w:eastAsia="zh-CN"/>
        </w:rPr>
        <w:t>蛋糕</w:t>
      </w:r>
      <w:r>
        <w:rPr>
          <w:rFonts w:hint="eastAsia" w:hAnsi="宋体" w:cs="宋体"/>
          <w:color w:val="auto"/>
          <w:sz w:val="21"/>
          <w:szCs w:val="21"/>
          <w:highlight w:val="none"/>
          <w:lang w:eastAsia="zh-CN"/>
        </w:rPr>
        <w:t>的</w:t>
      </w:r>
      <w:r>
        <w:rPr>
          <w:rFonts w:hint="eastAsia" w:ascii="宋体" w:hAnsi="宋体" w:cs="宋体"/>
          <w:color w:val="auto"/>
          <w:sz w:val="21"/>
          <w:szCs w:val="21"/>
          <w:highlight w:val="none"/>
          <w:lang w:eastAsia="zh-CN"/>
        </w:rPr>
        <w:t>价格</w:t>
      </w:r>
      <w:r>
        <w:rPr>
          <w:rFonts w:hint="eastAsia" w:hAnsi="宋体" w:cs="宋体"/>
          <w:color w:val="auto"/>
          <w:sz w:val="21"/>
          <w:szCs w:val="21"/>
          <w:highlight w:val="none"/>
          <w:lang w:eastAsia="zh-CN"/>
        </w:rPr>
        <w:t>进行咨询确定采购价格。</w:t>
      </w:r>
      <w:r>
        <w:rPr>
          <w:rFonts w:hint="eastAsia" w:hAnsi="宋体" w:cs="宋体"/>
          <w:color w:val="auto"/>
          <w:sz w:val="21"/>
          <w:highlight w:val="none"/>
        </w:rPr>
        <w:t>采购方与</w:t>
      </w:r>
      <w:r>
        <w:rPr>
          <w:rFonts w:hint="eastAsia" w:hAnsi="宋体" w:eastAsia="宋体" w:cs="宋体"/>
          <w:color w:val="auto"/>
          <w:sz w:val="21"/>
          <w:highlight w:val="none"/>
          <w:lang w:eastAsia="zh-CN"/>
        </w:rPr>
        <w:t>成交方</w:t>
      </w:r>
      <w:r>
        <w:rPr>
          <w:rFonts w:hint="eastAsia" w:hAnsi="宋体" w:cs="宋体"/>
          <w:color w:val="auto"/>
          <w:sz w:val="21"/>
          <w:highlight w:val="none"/>
        </w:rPr>
        <w:t>询价的三大</w:t>
      </w:r>
      <w:r>
        <w:rPr>
          <w:rFonts w:hint="eastAsia" w:hAnsi="宋体" w:cs="宋体"/>
          <w:color w:val="auto"/>
          <w:sz w:val="21"/>
          <w:highlight w:val="none"/>
          <w:lang w:eastAsia="zh-CN"/>
        </w:rPr>
        <w:t>超市</w:t>
      </w:r>
      <w:r>
        <w:rPr>
          <w:rFonts w:hint="eastAsia" w:hAnsi="宋体" w:cs="宋体"/>
          <w:color w:val="auto"/>
          <w:sz w:val="21"/>
          <w:highlight w:val="none"/>
        </w:rPr>
        <w:t>分别为信宜</w:t>
      </w:r>
      <w:r>
        <w:rPr>
          <w:rFonts w:hint="eastAsia" w:hAnsi="宋体" w:cs="宋体"/>
          <w:color w:val="auto"/>
          <w:sz w:val="21"/>
          <w:highlight w:val="none"/>
          <w:lang w:eastAsia="zh-CN"/>
        </w:rPr>
        <w:t>昌惠民超市</w:t>
      </w:r>
      <w:r>
        <w:rPr>
          <w:rFonts w:hint="eastAsia" w:hAnsi="宋体" w:cs="宋体"/>
          <w:color w:val="auto"/>
          <w:sz w:val="21"/>
          <w:highlight w:val="none"/>
        </w:rPr>
        <w:t>、</w:t>
      </w:r>
      <w:r>
        <w:rPr>
          <w:rFonts w:hint="eastAsia" w:hAnsi="宋体" w:cs="宋体"/>
          <w:color w:val="auto"/>
          <w:sz w:val="21"/>
          <w:highlight w:val="none"/>
          <w:lang w:eastAsia="zh-CN"/>
        </w:rPr>
        <w:t>兆康超市</w:t>
      </w:r>
      <w:r>
        <w:rPr>
          <w:rFonts w:hint="eastAsia" w:hAnsi="宋体" w:cs="宋体"/>
          <w:color w:val="auto"/>
          <w:sz w:val="21"/>
          <w:highlight w:val="none"/>
        </w:rPr>
        <w:t>、</w:t>
      </w:r>
      <w:r>
        <w:rPr>
          <w:rFonts w:hint="eastAsia" w:hAnsi="宋体" w:cs="宋体"/>
          <w:color w:val="auto"/>
          <w:sz w:val="21"/>
          <w:highlight w:val="none"/>
          <w:lang w:eastAsia="zh-CN"/>
        </w:rPr>
        <w:t>惠客多超市（如有大超市入驻本市经双方商讨后可将其纳入询价超市），超市特价促销食材若促销价格低于其它超市或市场</w:t>
      </w:r>
      <w:r>
        <w:rPr>
          <w:rFonts w:hint="eastAsia" w:hAnsi="宋体" w:cs="宋体"/>
          <w:color w:val="auto"/>
          <w:sz w:val="21"/>
          <w:highlight w:val="none"/>
          <w:lang w:val="en-US" w:eastAsia="zh-CN"/>
        </w:rPr>
        <w:t>50%以上或有效期低于1个月的特价食材（如牛奶）不纳入定价。</w:t>
      </w:r>
      <w:r>
        <w:rPr>
          <w:rFonts w:hint="eastAsia" w:hAnsi="宋体" w:cs="宋体"/>
          <w:color w:val="auto"/>
          <w:sz w:val="21"/>
          <w:szCs w:val="21"/>
          <w:highlight w:val="none"/>
          <w:lang w:eastAsia="zh-CN"/>
        </w:rPr>
        <w:t>三大市场为锦江市场、顺客隆市场、玉都市场</w:t>
      </w:r>
      <w:r>
        <w:rPr>
          <w:rFonts w:hint="eastAsia" w:ascii="宋体" w:hAnsi="宋体" w:cs="宋体"/>
          <w:color w:val="auto"/>
          <w:sz w:val="21"/>
          <w:szCs w:val="21"/>
          <w:highlight w:val="none"/>
        </w:rPr>
        <w:t>。每月的基准价格一经双方确定，双方必须严格执行，不受市场物价波动的影响，不可抗力除外（如严重火灾、洪水、台风、地震等或其它双方认定的不可抗力事件）。</w:t>
      </w:r>
    </w:p>
    <w:p>
      <w:pPr>
        <w:numPr>
          <w:ilvl w:val="0"/>
          <w:numId w:val="14"/>
        </w:numPr>
        <w:tabs>
          <w:tab w:val="left" w:pos="3210"/>
        </w:tabs>
        <w:spacing w:line="380" w:lineRule="exact"/>
        <w:ind w:left="0" w:leftChars="0" w:firstLine="400" w:firstLineChars="0"/>
        <w:rPr>
          <w:rFonts w:hint="eastAsia" w:ascii="宋体" w:hAnsi="宋体" w:cs="宋体"/>
          <w:color w:val="auto"/>
          <w:sz w:val="21"/>
          <w:szCs w:val="21"/>
          <w:highlight w:val="none"/>
        </w:rPr>
      </w:pPr>
      <w:r>
        <w:rPr>
          <w:rFonts w:hint="eastAsia" w:hAnsi="宋体" w:cs="Arial"/>
          <w:color w:val="auto"/>
          <w:sz w:val="21"/>
          <w:szCs w:val="21"/>
          <w:highlight w:val="none"/>
        </w:rPr>
        <w:t>投标报价</w:t>
      </w:r>
      <w:r>
        <w:rPr>
          <w:rFonts w:hint="eastAsia" w:ascii="宋体" w:hAnsi="宋体" w:cs="宋体"/>
          <w:color w:val="auto"/>
          <w:sz w:val="21"/>
          <w:szCs w:val="21"/>
          <w:highlight w:val="none"/>
        </w:rPr>
        <w:t>下浮率须为固定值</w:t>
      </w:r>
      <w:r>
        <w:rPr>
          <w:rFonts w:hint="eastAsia" w:ascii="宋体" w:hAnsi="宋体" w:cs="宋体"/>
          <w:bCs/>
          <w:color w:val="auto"/>
          <w:sz w:val="21"/>
          <w:szCs w:val="21"/>
          <w:highlight w:val="none"/>
        </w:rPr>
        <w:t>（精确至小数点后两位数字）</w:t>
      </w:r>
      <w:r>
        <w:rPr>
          <w:rFonts w:hint="eastAsia" w:hAnsi="宋体" w:cs="宋体"/>
          <w:bCs/>
          <w:color w:val="auto"/>
          <w:sz w:val="21"/>
          <w:szCs w:val="21"/>
          <w:highlight w:val="none"/>
        </w:rPr>
        <w:t>。</w:t>
      </w:r>
      <w:r>
        <w:rPr>
          <w:rFonts w:hint="eastAsia" w:hAnsi="宋体" w:eastAsia="宋体" w:cs="Arial"/>
          <w:color w:val="auto"/>
          <w:sz w:val="21"/>
          <w:szCs w:val="21"/>
          <w:highlight w:val="none"/>
        </w:rPr>
        <w:t>肉类的下浮率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rPr>
        <w:t>10.</w:t>
      </w:r>
      <w:r>
        <w:rPr>
          <w:rFonts w:hint="eastAsia" w:hAnsi="宋体" w:eastAsia="宋体" w:cs="Arial"/>
          <w:color w:val="auto"/>
          <w:sz w:val="21"/>
          <w:szCs w:val="21"/>
          <w:highlight w:val="none"/>
          <w:lang w:val="en-US" w:eastAsia="zh-CN"/>
        </w:rPr>
        <w:t>3</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w:t>
      </w:r>
      <w:r>
        <w:rPr>
          <w:rFonts w:hint="eastAsia" w:hAnsi="宋体" w:eastAsia="宋体" w:cs="Arial"/>
          <w:color w:val="auto"/>
          <w:sz w:val="21"/>
          <w:szCs w:val="21"/>
          <w:highlight w:val="none"/>
        </w:rPr>
        <w:t>蔬菜类下浮率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rPr>
        <w:t>10.</w:t>
      </w:r>
      <w:r>
        <w:rPr>
          <w:rFonts w:hint="eastAsia" w:hAnsi="宋体" w:eastAsia="宋体" w:cs="Arial"/>
          <w:color w:val="auto"/>
          <w:sz w:val="21"/>
          <w:szCs w:val="21"/>
          <w:highlight w:val="none"/>
          <w:lang w:val="en-US" w:eastAsia="zh-CN"/>
        </w:rPr>
        <w:t>2</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w:t>
      </w:r>
      <w:r>
        <w:rPr>
          <w:rFonts w:hint="eastAsia" w:hAnsi="宋体" w:eastAsia="宋体" w:cs="Arial"/>
          <w:color w:val="auto"/>
          <w:sz w:val="21"/>
          <w:szCs w:val="21"/>
          <w:highlight w:val="none"/>
        </w:rPr>
        <w:t>食用油的下浮率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rPr>
        <w:t>1</w:t>
      </w:r>
      <w:r>
        <w:rPr>
          <w:rFonts w:hint="eastAsia" w:hAnsi="宋体" w:eastAsia="宋体" w:cs="Arial"/>
          <w:color w:val="auto"/>
          <w:sz w:val="21"/>
          <w:szCs w:val="21"/>
          <w:highlight w:val="none"/>
          <w:lang w:val="en-US" w:eastAsia="zh-CN"/>
        </w:rPr>
        <w:t>.2</w:t>
      </w:r>
      <w:r>
        <w:rPr>
          <w:rFonts w:hint="eastAsia" w:hAnsi="宋体" w:eastAsia="宋体" w:cs="Arial"/>
          <w:color w:val="auto"/>
          <w:sz w:val="21"/>
          <w:szCs w:val="21"/>
          <w:highlight w:val="none"/>
        </w:rPr>
        <w:t>%，食用大米的下浮率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lang w:val="en-US" w:eastAsia="zh-CN"/>
        </w:rPr>
        <w:t>2.55</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w:t>
      </w:r>
      <w:r>
        <w:rPr>
          <w:rFonts w:hint="eastAsia" w:hAnsi="宋体" w:eastAsia="宋体" w:cs="Arial"/>
          <w:color w:val="auto"/>
          <w:sz w:val="21"/>
          <w:szCs w:val="21"/>
          <w:highlight w:val="none"/>
        </w:rPr>
        <w:t>杂项类的下浮率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lang w:val="en-US" w:eastAsia="zh-CN"/>
        </w:rPr>
        <w:t>1.2</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，蛋糕类</w:t>
      </w:r>
      <w:r>
        <w:rPr>
          <w:rFonts w:hint="eastAsia" w:hAnsi="宋体" w:eastAsia="宋体" w:cs="Arial"/>
          <w:color w:val="auto"/>
          <w:sz w:val="21"/>
          <w:szCs w:val="21"/>
          <w:highlight w:val="none"/>
        </w:rPr>
        <w:t>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lang w:val="en-US" w:eastAsia="zh-CN"/>
        </w:rPr>
        <w:t>11</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，液态奶类</w:t>
      </w:r>
      <w:r>
        <w:rPr>
          <w:rFonts w:hint="eastAsia" w:hAnsi="宋体" w:eastAsia="宋体" w:cs="Arial"/>
          <w:color w:val="auto"/>
          <w:sz w:val="21"/>
          <w:szCs w:val="21"/>
          <w:highlight w:val="none"/>
        </w:rPr>
        <w:t>的下浮率</w:t>
      </w:r>
      <w:r>
        <w:rPr>
          <w:rFonts w:hint="eastAsia" w:hAnsi="宋体" w:eastAsia="宋体" w:cs="Arial"/>
          <w:color w:val="auto"/>
          <w:sz w:val="21"/>
          <w:szCs w:val="21"/>
          <w:highlight w:val="none"/>
          <w:lang w:eastAsia="zh-CN"/>
        </w:rPr>
        <w:t>必须高于</w:t>
      </w:r>
      <w:r>
        <w:rPr>
          <w:rFonts w:hint="eastAsia" w:hAnsi="宋体" w:eastAsia="宋体" w:cs="Arial"/>
          <w:color w:val="auto"/>
          <w:sz w:val="21"/>
          <w:szCs w:val="21"/>
          <w:highlight w:val="none"/>
          <w:lang w:val="en-US" w:eastAsia="zh-CN"/>
        </w:rPr>
        <w:t>3.0</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。面包、</w:t>
      </w:r>
      <w:r>
        <w:rPr>
          <w:rFonts w:hint="eastAsia" w:hAnsi="宋体" w:eastAsia="宋体" w:cs="Arial"/>
          <w:color w:val="auto"/>
          <w:sz w:val="21"/>
          <w:szCs w:val="21"/>
          <w:highlight w:val="none"/>
        </w:rPr>
        <w:t>蛋糕类的下浮率必须高于1</w:t>
      </w:r>
      <w:r>
        <w:rPr>
          <w:rFonts w:hint="eastAsia" w:hAnsi="宋体" w:eastAsia="宋体" w:cs="Arial"/>
          <w:color w:val="auto"/>
          <w:sz w:val="21"/>
          <w:szCs w:val="21"/>
          <w:highlight w:val="none"/>
          <w:lang w:val="en-US" w:eastAsia="zh-CN"/>
        </w:rPr>
        <w:t>1</w:t>
      </w:r>
      <w:r>
        <w:rPr>
          <w:rFonts w:hint="eastAsia" w:hAnsi="宋体" w:eastAsia="宋体" w:cs="Arial"/>
          <w:color w:val="auto"/>
          <w:sz w:val="21"/>
          <w:szCs w:val="21"/>
          <w:highlight w:val="none"/>
        </w:rPr>
        <w:t>%且不设定上限标准。若肉类投标报价下浮率大于</w:t>
      </w:r>
      <w:r>
        <w:rPr>
          <w:rFonts w:hint="eastAsia" w:hAnsi="宋体" w:eastAsia="宋体" w:cs="Arial"/>
          <w:color w:val="auto"/>
          <w:sz w:val="21"/>
          <w:szCs w:val="21"/>
          <w:highlight w:val="none"/>
          <w:lang w:val="en-US" w:eastAsia="zh-CN"/>
        </w:rPr>
        <w:t>25</w:t>
      </w:r>
      <w:r>
        <w:rPr>
          <w:rFonts w:hint="eastAsia" w:hAnsi="宋体" w:eastAsia="宋体" w:cs="Arial"/>
          <w:color w:val="auto"/>
          <w:sz w:val="21"/>
          <w:szCs w:val="21"/>
          <w:highlight w:val="none"/>
        </w:rPr>
        <w:t>%</w:t>
      </w:r>
      <w:r>
        <w:rPr>
          <w:rFonts w:hint="eastAsia" w:hAnsi="宋体" w:eastAsia="宋体" w:cs="Arial"/>
          <w:color w:val="auto"/>
          <w:sz w:val="21"/>
          <w:szCs w:val="21"/>
          <w:highlight w:val="none"/>
          <w:lang w:eastAsia="zh-CN"/>
        </w:rPr>
        <w:t>，粮油类、</w:t>
      </w:r>
      <w:r>
        <w:rPr>
          <w:rFonts w:hint="eastAsia" w:hAnsi="宋体" w:eastAsia="宋体" w:cs="Arial"/>
          <w:color w:val="auto"/>
          <w:sz w:val="21"/>
          <w:szCs w:val="21"/>
          <w:highlight w:val="none"/>
        </w:rPr>
        <w:t>杂项类投标报价下浮率大于</w:t>
      </w:r>
      <w:r>
        <w:rPr>
          <w:rFonts w:hint="eastAsia" w:hAnsi="宋体" w:eastAsia="宋体" w:cs="Arial"/>
          <w:color w:val="auto"/>
          <w:sz w:val="21"/>
          <w:szCs w:val="21"/>
          <w:highlight w:val="none"/>
          <w:lang w:val="en-US" w:eastAsia="zh-CN"/>
        </w:rPr>
        <w:t>15</w:t>
      </w:r>
      <w:r>
        <w:rPr>
          <w:rFonts w:hint="eastAsia" w:hAnsi="宋体" w:eastAsia="宋体" w:cs="Arial"/>
          <w:color w:val="auto"/>
          <w:sz w:val="21"/>
          <w:szCs w:val="21"/>
          <w:highlight w:val="none"/>
        </w:rPr>
        <w:t>%的，投标人</w:t>
      </w:r>
      <w:r>
        <w:rPr>
          <w:rFonts w:hint="eastAsia" w:ascii="宋体" w:hAnsi="宋体" w:cs="宋体"/>
          <w:color w:val="auto"/>
          <w:sz w:val="21"/>
          <w:szCs w:val="21"/>
          <w:highlight w:val="none"/>
        </w:rPr>
        <w:t>须在投标文件中提交由第三方出具有效的依据，内容必须包含：投标人的成本及利润分析等内容，否则按无效投标处理。</w:t>
      </w:r>
      <w:r>
        <w:rPr>
          <w:rFonts w:hint="eastAsia" w:ascii="宋体" w:hAnsi="宋体" w:cs="宋体"/>
          <w:color w:val="auto"/>
          <w:sz w:val="21"/>
          <w:szCs w:val="21"/>
          <w:highlight w:val="none"/>
          <w:lang w:eastAsia="zh-CN"/>
        </w:rPr>
        <w:t>（注：花生油类、杂项类的价格以三大市场的调查价格均价为基础下浮，</w:t>
      </w:r>
      <w:r>
        <w:rPr>
          <w:rFonts w:hint="eastAsia" w:hAnsi="宋体" w:cs="宋体"/>
          <w:bCs/>
          <w:color w:val="auto"/>
          <w:sz w:val="21"/>
          <w:szCs w:val="21"/>
          <w:highlight w:val="none"/>
        </w:rPr>
        <w:t>肉类</w:t>
      </w:r>
      <w:r>
        <w:rPr>
          <w:rFonts w:hint="eastAsia" w:hAnsi="宋体" w:cs="宋体"/>
          <w:bCs/>
          <w:color w:val="auto"/>
          <w:sz w:val="21"/>
          <w:szCs w:val="21"/>
          <w:highlight w:val="none"/>
          <w:lang w:eastAsia="zh-CN"/>
        </w:rPr>
        <w:t>、</w:t>
      </w:r>
      <w:r>
        <w:rPr>
          <w:rFonts w:hint="eastAsia" w:hAnsi="宋体"/>
          <w:color w:val="auto"/>
          <w:sz w:val="21"/>
          <w:szCs w:val="21"/>
          <w:highlight w:val="none"/>
        </w:rPr>
        <w:t>蔬菜类</w:t>
      </w:r>
      <w:r>
        <w:rPr>
          <w:rFonts w:hint="eastAsia" w:hAnsi="宋体"/>
          <w:color w:val="auto"/>
          <w:sz w:val="21"/>
          <w:szCs w:val="21"/>
          <w:highlight w:val="none"/>
          <w:lang w:eastAsia="zh-CN"/>
        </w:rPr>
        <w:t>、</w:t>
      </w:r>
      <w:r>
        <w:rPr>
          <w:rFonts w:hint="eastAsia"/>
          <w:bCs/>
          <w:color w:val="auto"/>
          <w:sz w:val="21"/>
          <w:szCs w:val="21"/>
          <w:highlight w:val="none"/>
        </w:rPr>
        <w:t>食用大米</w:t>
      </w:r>
      <w:r>
        <w:rPr>
          <w:rFonts w:hint="eastAsia" w:ascii="宋体"/>
          <w:bCs/>
          <w:color w:val="auto"/>
          <w:sz w:val="21"/>
          <w:szCs w:val="21"/>
          <w:highlight w:val="none"/>
          <w:lang w:eastAsia="zh-CN"/>
        </w:rPr>
        <w:t>、</w:t>
      </w:r>
      <w:r>
        <w:rPr>
          <w:rFonts w:hint="eastAsia" w:hAnsi="宋体" w:cs="宋体"/>
          <w:bCs/>
          <w:color w:val="auto"/>
          <w:sz w:val="21"/>
          <w:szCs w:val="21"/>
          <w:highlight w:val="none"/>
          <w:lang w:eastAsia="zh-CN"/>
        </w:rPr>
        <w:t>牛奶</w:t>
      </w:r>
      <w:r>
        <w:rPr>
          <w:rFonts w:hint="eastAsia" w:ascii="宋体" w:hAnsi="宋体" w:cs="宋体"/>
          <w:color w:val="auto"/>
          <w:sz w:val="21"/>
          <w:szCs w:val="21"/>
          <w:highlight w:val="none"/>
          <w:lang w:eastAsia="zh-CN"/>
        </w:rPr>
        <w:t>的价格以三大超市的调查价格均价为基础下浮</w:t>
      </w:r>
      <w:r>
        <w:rPr>
          <w:rFonts w:hint="eastAsia" w:hAnsi="宋体" w:cs="宋体"/>
          <w:bCs/>
          <w:color w:val="auto"/>
          <w:sz w:val="21"/>
          <w:szCs w:val="21"/>
          <w:highlight w:val="none"/>
          <w:lang w:eastAsia="zh-CN"/>
        </w:rPr>
        <w:t>，面包、蛋糕类的价格以当地品牌</w:t>
      </w:r>
      <w:r>
        <w:rPr>
          <w:rFonts w:hint="eastAsia" w:ascii="宋体" w:hAnsi="宋体" w:cs="宋体"/>
          <w:color w:val="auto"/>
          <w:sz w:val="21"/>
          <w:szCs w:val="21"/>
          <w:highlight w:val="none"/>
          <w:lang w:eastAsia="zh-CN"/>
        </w:rPr>
        <w:t>的蛋糕调查价格为</w:t>
      </w:r>
      <w:r>
        <w:rPr>
          <w:rFonts w:hint="eastAsia" w:hAnsi="宋体" w:cs="宋体"/>
          <w:bCs/>
          <w:color w:val="auto"/>
          <w:sz w:val="21"/>
          <w:szCs w:val="21"/>
          <w:highlight w:val="none"/>
          <w:lang w:eastAsia="zh-CN"/>
        </w:rPr>
        <w:t>基础</w:t>
      </w:r>
      <w:r>
        <w:rPr>
          <w:rFonts w:hint="eastAsia" w:ascii="宋体" w:hAnsi="宋体" w:cs="宋体"/>
          <w:color w:val="auto"/>
          <w:sz w:val="21"/>
          <w:szCs w:val="21"/>
          <w:highlight w:val="none"/>
          <w:lang w:eastAsia="zh-CN"/>
        </w:rPr>
        <w:t>下浮）。</w:t>
      </w:r>
    </w:p>
    <w:p>
      <w:pPr>
        <w:tabs>
          <w:tab w:val="left" w:pos="720"/>
        </w:tabs>
        <w:snapToGrid w:val="0"/>
        <w:spacing w:line="380" w:lineRule="exact"/>
        <w:ind w:firstLine="105" w:firstLineChars="50"/>
        <w:rPr>
          <w:rFonts w:hint="eastAsia" w:ascii="宋体" w:hAnsi="宋体" w:cs="宋体"/>
          <w:color w:val="auto"/>
          <w:sz w:val="21"/>
          <w:szCs w:val="21"/>
          <w:highlight w:val="none"/>
        </w:rPr>
      </w:pPr>
      <w:r>
        <w:rPr>
          <w:rFonts w:hint="eastAsia" w:ascii="宋体" w:hAnsi="宋体" w:cs="宋体"/>
          <w:b/>
          <w:bCs/>
          <w:color w:val="auto"/>
          <w:sz w:val="21"/>
          <w:szCs w:val="21"/>
          <w:highlight w:val="none"/>
          <w:lang w:eastAsia="zh-CN"/>
        </w:rPr>
        <w:t>（</w:t>
      </w:r>
      <w:r>
        <w:rPr>
          <w:rFonts w:hint="eastAsia" w:ascii="宋体" w:hAnsi="宋体" w:cs="宋体"/>
          <w:b/>
          <w:bCs/>
          <w:color w:val="auto"/>
          <w:sz w:val="21"/>
          <w:szCs w:val="21"/>
          <w:highlight w:val="none"/>
          <w:lang w:val="en-US" w:eastAsia="zh-CN"/>
        </w:rPr>
        <w:t>八</w:t>
      </w:r>
      <w:r>
        <w:rPr>
          <w:rFonts w:hint="eastAsia" w:ascii="宋体" w:hAnsi="宋体" w:cs="宋体"/>
          <w:b/>
          <w:bCs/>
          <w:color w:val="auto"/>
          <w:sz w:val="21"/>
          <w:szCs w:val="21"/>
          <w:highlight w:val="none"/>
          <w:lang w:eastAsia="zh-CN"/>
        </w:rPr>
        <w:t>）</w:t>
      </w:r>
      <w:r>
        <w:rPr>
          <w:rFonts w:hint="eastAsia" w:ascii="宋体" w:hAnsi="宋体" w:cs="宋体"/>
          <w:b/>
          <w:bCs/>
          <w:color w:val="auto"/>
          <w:sz w:val="21"/>
          <w:szCs w:val="21"/>
          <w:highlight w:val="none"/>
        </w:rPr>
        <w:t>付款方式：</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每月每个品种实际采购单价计算方法：双方确定的采购基准单价×</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1-</w:t>
      </w:r>
      <w:r>
        <w:rPr>
          <w:rFonts w:hint="eastAsia" w:hAnsi="宋体" w:cs="Arial"/>
          <w:color w:val="auto"/>
          <w:sz w:val="21"/>
          <w:szCs w:val="21"/>
          <w:highlight w:val="none"/>
        </w:rPr>
        <w:t>投标报价</w:t>
      </w:r>
      <w:r>
        <w:rPr>
          <w:rFonts w:hint="eastAsia" w:ascii="宋体" w:hAnsi="宋体" w:cs="宋体"/>
          <w:color w:val="auto"/>
          <w:sz w:val="21"/>
          <w:szCs w:val="21"/>
          <w:highlight w:val="none"/>
        </w:rPr>
        <w:t>下浮率</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w:t>
      </w:r>
      <w:r>
        <w:rPr>
          <w:rFonts w:hint="eastAsia" w:ascii="宋体" w:hAnsi="宋体" w:cs="宋体"/>
          <w:color w:val="auto"/>
          <w:sz w:val="21"/>
          <w:szCs w:val="21"/>
          <w:highlight w:val="none"/>
        </w:rPr>
        <w:t>实际采购单价，按实际采购数量结算，结算周期为一个月。上月货款需在每个月10日前，经双方核对确认签字后，由</w:t>
      </w:r>
      <w:r>
        <w:rPr>
          <w:rFonts w:hint="eastAsia" w:ascii="宋体" w:hAnsi="宋体" w:cs="宋体"/>
          <w:color w:val="auto"/>
          <w:sz w:val="21"/>
          <w:szCs w:val="21"/>
          <w:highlight w:val="none"/>
          <w:lang w:val="en-US" w:eastAsia="zh-CN"/>
        </w:rPr>
        <w:t>成交方</w:t>
      </w:r>
      <w:r>
        <w:rPr>
          <w:rFonts w:hint="eastAsia" w:ascii="宋体" w:hAnsi="宋体" w:cs="宋体"/>
          <w:color w:val="auto"/>
          <w:sz w:val="21"/>
          <w:szCs w:val="21"/>
          <w:highlight w:val="none"/>
        </w:rPr>
        <w:t>开具完税发票</w:t>
      </w:r>
      <w:r>
        <w:rPr>
          <w:rFonts w:hint="eastAsia" w:ascii="宋体" w:hAnsi="宋体" w:cs="宋体"/>
          <w:color w:val="auto"/>
          <w:sz w:val="21"/>
          <w:szCs w:val="21"/>
          <w:highlight w:val="none"/>
          <w:lang w:eastAsia="zh-CN"/>
        </w:rPr>
        <w:t>，</w:t>
      </w:r>
      <w:r>
        <w:rPr>
          <w:rFonts w:hint="eastAsia" w:ascii="宋体" w:hAnsi="宋体" w:eastAsia="宋体" w:cs="宋体"/>
          <w:b w:val="0"/>
          <w:bCs w:val="0"/>
          <w:color w:val="auto"/>
          <w:sz w:val="21"/>
          <w:szCs w:val="24"/>
          <w:lang w:val="en-US" w:eastAsia="zh-CN"/>
        </w:rPr>
        <w:t>采购方应在收到成交方相应发票后的10个工作日内将上个月的相关费用支付到合同约定的供应商账户。</w:t>
      </w:r>
    </w:p>
    <w:p>
      <w:pPr>
        <w:tabs>
          <w:tab w:val="left" w:pos="0"/>
          <w:tab w:val="left" w:pos="284"/>
        </w:tabs>
        <w:spacing w:line="380" w:lineRule="exact"/>
        <w:outlineLvl w:val="1"/>
        <w:rPr>
          <w:rFonts w:hint="eastAsia" w:ascii="宋体" w:hAnsi="宋体" w:cs="宋体"/>
          <w:b/>
          <w:color w:val="auto"/>
          <w:sz w:val="21"/>
          <w:szCs w:val="21"/>
          <w:highlight w:val="none"/>
        </w:rPr>
      </w:pPr>
      <w:r>
        <w:rPr>
          <w:rFonts w:hint="eastAsia" w:ascii="宋体" w:hAnsi="宋体" w:cs="宋体"/>
          <w:b/>
          <w:color w:val="auto"/>
          <w:sz w:val="21"/>
          <w:szCs w:val="21"/>
          <w:highlight w:val="none"/>
          <w:lang w:eastAsia="zh-CN"/>
        </w:rPr>
        <w:t>（</w:t>
      </w:r>
      <w:r>
        <w:rPr>
          <w:rFonts w:hint="eastAsia" w:ascii="宋体" w:hAnsi="宋体" w:cs="宋体"/>
          <w:b/>
          <w:color w:val="auto"/>
          <w:sz w:val="21"/>
          <w:szCs w:val="21"/>
          <w:highlight w:val="none"/>
          <w:lang w:val="en-US" w:eastAsia="zh-CN"/>
        </w:rPr>
        <w:t>九</w:t>
      </w:r>
      <w:r>
        <w:rPr>
          <w:rFonts w:hint="eastAsia" w:ascii="宋体" w:hAnsi="宋体" w:cs="宋体"/>
          <w:b/>
          <w:color w:val="auto"/>
          <w:sz w:val="21"/>
          <w:szCs w:val="21"/>
          <w:highlight w:val="none"/>
          <w:lang w:eastAsia="zh-CN"/>
        </w:rPr>
        <w:t>）</w:t>
      </w:r>
      <w:r>
        <w:rPr>
          <w:rFonts w:hint="eastAsia" w:ascii="宋体" w:hAnsi="宋体" w:cs="宋体"/>
          <w:b/>
          <w:color w:val="auto"/>
          <w:sz w:val="21"/>
          <w:szCs w:val="21"/>
          <w:highlight w:val="none"/>
        </w:rPr>
        <w:t>售后保障要求：</w:t>
      </w:r>
    </w:p>
    <w:p>
      <w:pPr>
        <w:tabs>
          <w:tab w:val="left" w:pos="360"/>
        </w:tabs>
        <w:spacing w:line="380" w:lineRule="exact"/>
        <w:ind w:firstLine="420" w:firstLineChars="200"/>
        <w:rPr>
          <w:rFonts w:hint="eastAsia" w:ascii="宋体" w:hAnsi="宋体" w:cs="宋体"/>
          <w:b/>
          <w:bCs/>
          <w:color w:val="auto"/>
          <w:sz w:val="21"/>
          <w:szCs w:val="21"/>
          <w:highlight w:val="none"/>
        </w:rPr>
      </w:pPr>
      <w:r>
        <w:rPr>
          <w:rFonts w:hint="eastAsia" w:ascii="宋体" w:hAnsi="宋体" w:cs="宋体"/>
          <w:color w:val="auto"/>
          <w:sz w:val="21"/>
          <w:szCs w:val="21"/>
          <w:highlight w:val="none"/>
        </w:rPr>
        <w:t>安全事故：由于</w:t>
      </w:r>
      <w:r>
        <w:rPr>
          <w:rFonts w:hint="eastAsia" w:ascii="宋体" w:hAnsi="宋体" w:cs="宋体"/>
          <w:color w:val="auto"/>
          <w:sz w:val="21"/>
          <w:szCs w:val="21"/>
          <w:highlight w:val="none"/>
          <w:lang w:val="en-US" w:eastAsia="zh-CN"/>
        </w:rPr>
        <w:t>成交方</w:t>
      </w:r>
      <w:r>
        <w:rPr>
          <w:rFonts w:hint="eastAsia" w:ascii="宋体" w:hAnsi="宋体" w:cs="宋体"/>
          <w:color w:val="auto"/>
          <w:sz w:val="21"/>
          <w:szCs w:val="21"/>
          <w:highlight w:val="none"/>
        </w:rPr>
        <w:t>所供货物质量原因（以有资质的质检部门的质检报告为准），造成采购方用餐人员发生安全事故的，</w:t>
      </w:r>
      <w:r>
        <w:rPr>
          <w:rFonts w:hint="eastAsia" w:ascii="宋体" w:hAnsi="宋体" w:cs="宋体"/>
          <w:color w:val="auto"/>
          <w:sz w:val="21"/>
          <w:szCs w:val="21"/>
          <w:highlight w:val="none"/>
          <w:lang w:val="en-US" w:eastAsia="zh-CN"/>
        </w:rPr>
        <w:t>成交</w:t>
      </w:r>
      <w:r>
        <w:rPr>
          <w:rFonts w:hint="eastAsia" w:ascii="宋体" w:hAnsi="宋体" w:cs="宋体"/>
          <w:color w:val="auto"/>
          <w:sz w:val="21"/>
          <w:szCs w:val="21"/>
          <w:highlight w:val="none"/>
        </w:rPr>
        <w:t>人须承担所有相关的经济赔偿及法律责任。</w:t>
      </w:r>
    </w:p>
    <w:p>
      <w:pPr>
        <w:pStyle w:val="23"/>
        <w:numPr>
          <w:ilvl w:val="0"/>
          <w:numId w:val="0"/>
        </w:numPr>
        <w:tabs>
          <w:tab w:val="left" w:pos="2340"/>
        </w:tabs>
        <w:spacing w:line="380" w:lineRule="exact"/>
        <w:jc w:val="both"/>
        <w:rPr>
          <w:rFonts w:hint="eastAsia" w:hAnsi="宋体" w:cs="宋体"/>
          <w:color w:val="auto"/>
          <w:sz w:val="21"/>
        </w:rPr>
      </w:pPr>
    </w:p>
    <w:p>
      <w:pPr>
        <w:ind w:firstLine="420" w:firstLineChars="200"/>
        <w:rPr>
          <w:rFonts w:ascii="宋体" w:hAnsi="宋体"/>
          <w:color w:val="auto"/>
          <w:highlight w:val="none"/>
        </w:rPr>
      </w:pPr>
      <w:r>
        <w:rPr>
          <w:rFonts w:ascii="宋体" w:hAnsi="宋体"/>
          <w:color w:val="auto"/>
          <w:highlight w:val="none"/>
        </w:rPr>
        <w:br w:type="page"/>
      </w:r>
    </w:p>
    <w:bookmarkEnd w:id="22"/>
    <w:p>
      <w:pPr>
        <w:pStyle w:val="3"/>
        <w:rPr>
          <w:color w:val="auto"/>
          <w:highlight w:val="none"/>
        </w:rPr>
      </w:pPr>
      <w:bookmarkStart w:id="24" w:name="_Toc103033203"/>
      <w:bookmarkStart w:id="25" w:name="_Toc104040687"/>
      <w:bookmarkStart w:id="26" w:name="_Toc103216635"/>
      <w:bookmarkStart w:id="27" w:name="_Toc101122291"/>
      <w:bookmarkStart w:id="28" w:name="_Toc114516595"/>
      <w:r>
        <w:rPr>
          <w:rFonts w:hint="eastAsia"/>
          <w:color w:val="auto"/>
          <w:highlight w:val="none"/>
        </w:rPr>
        <w:t>第三章</w:t>
      </w:r>
      <w:r>
        <w:rPr>
          <w:color w:val="auto"/>
          <w:highlight w:val="none"/>
        </w:rPr>
        <w:t xml:space="preserve"> </w:t>
      </w:r>
      <w:r>
        <w:rPr>
          <w:rFonts w:hint="eastAsia"/>
          <w:color w:val="auto"/>
          <w:highlight w:val="none"/>
        </w:rPr>
        <w:t>供应商须知</w:t>
      </w:r>
      <w:bookmarkEnd w:id="24"/>
      <w:bookmarkEnd w:id="25"/>
      <w:bookmarkEnd w:id="26"/>
      <w:bookmarkEnd w:id="27"/>
      <w:bookmarkEnd w:id="28"/>
    </w:p>
    <w:p>
      <w:pPr>
        <w:pStyle w:val="2"/>
        <w:ind w:firstLine="420" w:firstLineChars="200"/>
        <w:rPr>
          <w:rFonts w:ascii="宋体" w:hAnsi="宋体"/>
          <w:color w:val="auto"/>
          <w:szCs w:val="20"/>
          <w:highlight w:val="none"/>
        </w:rPr>
      </w:pPr>
      <w:r>
        <w:rPr>
          <w:rFonts w:hint="eastAsia" w:ascii="宋体" w:hAnsi="宋体"/>
          <w:color w:val="auto"/>
          <w:szCs w:val="20"/>
          <w:highlight w:val="none"/>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4"/>
        <w:numPr>
          <w:ilvl w:val="0"/>
          <w:numId w:val="15"/>
        </w:numPr>
        <w:spacing w:before="120" w:after="120"/>
        <w:ind w:left="0" w:firstLine="0"/>
        <w:rPr>
          <w:rFonts w:ascii="宋体" w:hAnsi="宋体"/>
          <w:color w:val="auto"/>
          <w:sz w:val="21"/>
          <w:szCs w:val="21"/>
          <w:highlight w:val="none"/>
        </w:rPr>
      </w:pPr>
      <w:bookmarkStart w:id="29" w:name="_Toc104040688"/>
      <w:r>
        <w:rPr>
          <w:rFonts w:hint="eastAsia" w:ascii="宋体" w:hAnsi="宋体"/>
          <w:color w:val="auto"/>
          <w:sz w:val="21"/>
          <w:szCs w:val="21"/>
          <w:highlight w:val="none"/>
        </w:rPr>
        <w:t>名词解释</w:t>
      </w:r>
      <w:bookmarkEnd w:id="29"/>
    </w:p>
    <w:p>
      <w:pPr>
        <w:pStyle w:val="362"/>
        <w:ind w:left="0" w:firstLine="416" w:firstLineChars="200"/>
        <w:rPr>
          <w:color w:val="auto"/>
          <w:spacing w:val="-1"/>
          <w:sz w:val="21"/>
          <w:szCs w:val="21"/>
          <w:highlight w:val="none"/>
        </w:rPr>
      </w:pPr>
      <w:r>
        <w:rPr>
          <w:rFonts w:hint="eastAsia"/>
          <w:color w:val="auto"/>
          <w:spacing w:val="-1"/>
          <w:sz w:val="21"/>
          <w:szCs w:val="21"/>
          <w:highlight w:val="none"/>
        </w:rPr>
        <w:t>1.采购代理机构：本项目是指广东达禾工程管理有限公司，负责整个采购活动的组织，依法负责编制和发布磋商文件，对磋商文件拥有最终的解释权，不以任何身份出任磋商小组成员。</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2.采购人：本项目采购人详见采购公告，是采购活动当事人之一，负责项目的整体规划、技术方案可行性设计论证与实施，作为合同采购方（用户）的主体承担质疑回复、履行合同、验收与评价等义务。</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3.供应商：</w:t>
      </w:r>
      <w:bookmarkStart w:id="30" w:name="_Hlk112005196"/>
      <w:r>
        <w:rPr>
          <w:rFonts w:hint="eastAsia"/>
          <w:color w:val="auto"/>
          <w:spacing w:val="-1"/>
          <w:sz w:val="21"/>
          <w:szCs w:val="21"/>
          <w:highlight w:val="none"/>
        </w:rPr>
        <w:t>是指通过报名获取了采购文件，并提交响应文件的供应商</w:t>
      </w:r>
      <w:bookmarkEnd w:id="30"/>
      <w:r>
        <w:rPr>
          <w:rFonts w:hint="eastAsia"/>
          <w:color w:val="auto"/>
          <w:spacing w:val="-1"/>
          <w:sz w:val="21"/>
          <w:szCs w:val="21"/>
          <w:highlight w:val="none"/>
        </w:rPr>
        <w:t>。</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4.“磋商小组”是指参照《中华人民共和国政府采购法》等法律法规规定，由采购人代表和有关专家组成以确定成交供应商或者推荐成交候选供应商的临时组织。</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5.“成交供应商”、“成交人”是指经磋商小组评审确定的对磋商文件做出实质性响应，经采购人按照规定在磋商小组推荐的成交候选供应商中确定的或磋商小组受采购人委托直接确认的供应商。</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6.磋商文件：是指包括磋商公告和磋商文件及其补充、变更和澄清等一系列文件。</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7.</w:t>
      </w:r>
      <w:bookmarkStart w:id="31" w:name="_Hlk112005222"/>
      <w:r>
        <w:rPr>
          <w:rFonts w:hint="eastAsia"/>
          <w:color w:val="auto"/>
          <w:spacing w:val="-1"/>
          <w:sz w:val="21"/>
          <w:szCs w:val="21"/>
          <w:highlight w:val="none"/>
        </w:rPr>
        <w:t>响应文件：是指供应商提交的响应文件</w:t>
      </w:r>
      <w:bookmarkEnd w:id="31"/>
      <w:r>
        <w:rPr>
          <w:rFonts w:hint="eastAsia"/>
          <w:color w:val="auto"/>
          <w:spacing w:val="-1"/>
          <w:sz w:val="21"/>
          <w:szCs w:val="21"/>
          <w:highlight w:val="none"/>
        </w:rPr>
        <w:t>。</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8.“全称”、“公司全称”、“投标人/供应商名称”、“加盖单位公章”、“加盖公章”及“公章”：在投标（响应）文件及相关的其他资料中，涉及“全称”或“公司全称”或“投标人/供应商名称”的应在对应文件编辑时使用文本录入方式，或在纸质投标（响应）文件上进行填写，或直接盖单位公章；涉及“加盖单位公章”、“加盖公章”和“公章”应使用投标人单位的公章进行盖章。</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9.</w:t>
      </w:r>
      <w:bookmarkStart w:id="32" w:name="_Hlk112005261"/>
      <w:r>
        <w:rPr>
          <w:rFonts w:hint="eastAsia"/>
          <w:color w:val="auto"/>
          <w:spacing w:val="-1"/>
          <w:sz w:val="21"/>
          <w:szCs w:val="21"/>
          <w:highlight w:val="none"/>
        </w:rPr>
        <w:t>“供应商代表签字”及“授权代表”：在响应文件及相关的其他资料中，涉及“供应商代表签字”或“授权代表”应在纸质响应文件上进行手写签名或加盖个人印章</w:t>
      </w:r>
      <w:bookmarkEnd w:id="32"/>
      <w:r>
        <w:rPr>
          <w:rFonts w:hint="eastAsia"/>
          <w:color w:val="auto"/>
          <w:spacing w:val="-1"/>
          <w:sz w:val="21"/>
          <w:szCs w:val="21"/>
          <w:highlight w:val="none"/>
        </w:rPr>
        <w:t>。</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10.“法定代表人”：</w:t>
      </w:r>
      <w:bookmarkStart w:id="33" w:name="_Hlk112005269"/>
      <w:r>
        <w:rPr>
          <w:rFonts w:hint="eastAsia"/>
          <w:color w:val="auto"/>
          <w:spacing w:val="-1"/>
          <w:sz w:val="21"/>
          <w:szCs w:val="21"/>
          <w:highlight w:val="none"/>
        </w:rPr>
        <w:t>在响应文件及相关的其他资料中，涉及“法定代表人”应在纸质响应文件上进行手写签名或加盖个人印章</w:t>
      </w:r>
      <w:bookmarkEnd w:id="33"/>
      <w:r>
        <w:rPr>
          <w:rFonts w:hint="eastAsia"/>
          <w:color w:val="auto"/>
          <w:spacing w:val="-1"/>
          <w:sz w:val="21"/>
          <w:szCs w:val="21"/>
          <w:highlight w:val="none"/>
        </w:rPr>
        <w:t>。</w:t>
      </w:r>
    </w:p>
    <w:p>
      <w:pPr>
        <w:pStyle w:val="362"/>
        <w:ind w:left="0" w:firstLine="416" w:firstLineChars="200"/>
        <w:rPr>
          <w:color w:val="auto"/>
          <w:spacing w:val="-1"/>
          <w:sz w:val="21"/>
          <w:szCs w:val="21"/>
          <w:highlight w:val="none"/>
        </w:rPr>
      </w:pPr>
      <w:r>
        <w:rPr>
          <w:rFonts w:hint="eastAsia"/>
          <w:color w:val="auto"/>
          <w:spacing w:val="-1"/>
          <w:sz w:val="21"/>
          <w:szCs w:val="21"/>
          <w:highlight w:val="none"/>
        </w:rPr>
        <w:t>11.日期、天数、时间：未有特别说明时，均为公历日（天）及北京时间。</w:t>
      </w:r>
    </w:p>
    <w:p>
      <w:pPr>
        <w:pStyle w:val="362"/>
        <w:ind w:left="420" w:firstLine="0"/>
        <w:rPr>
          <w:color w:val="auto"/>
          <w:sz w:val="21"/>
          <w:szCs w:val="21"/>
          <w:highlight w:val="none"/>
        </w:rPr>
      </w:pPr>
    </w:p>
    <w:p>
      <w:pPr>
        <w:pStyle w:val="362"/>
        <w:ind w:left="420" w:firstLine="0"/>
        <w:rPr>
          <w:color w:val="auto"/>
          <w:sz w:val="21"/>
          <w:szCs w:val="21"/>
          <w:highlight w:val="none"/>
        </w:rPr>
      </w:pPr>
    </w:p>
    <w:p>
      <w:pPr>
        <w:pStyle w:val="362"/>
        <w:ind w:left="420" w:firstLine="0"/>
        <w:rPr>
          <w:color w:val="auto"/>
          <w:sz w:val="21"/>
          <w:szCs w:val="21"/>
          <w:highlight w:val="none"/>
        </w:rPr>
      </w:pPr>
    </w:p>
    <w:p>
      <w:pPr>
        <w:pStyle w:val="362"/>
        <w:ind w:left="420" w:firstLine="0"/>
        <w:rPr>
          <w:color w:val="auto"/>
          <w:sz w:val="21"/>
          <w:szCs w:val="21"/>
          <w:highlight w:val="none"/>
        </w:rPr>
      </w:pPr>
    </w:p>
    <w:p>
      <w:pPr>
        <w:pStyle w:val="4"/>
        <w:numPr>
          <w:ilvl w:val="0"/>
          <w:numId w:val="15"/>
        </w:numPr>
        <w:spacing w:before="120" w:after="120"/>
        <w:ind w:left="0" w:firstLine="0"/>
        <w:rPr>
          <w:rFonts w:ascii="宋体" w:hAnsi="宋体"/>
          <w:color w:val="auto"/>
          <w:sz w:val="21"/>
          <w:szCs w:val="21"/>
          <w:highlight w:val="none"/>
        </w:rPr>
      </w:pPr>
      <w:bookmarkStart w:id="34" w:name="_Toc104040689"/>
      <w:r>
        <w:rPr>
          <w:rFonts w:hint="eastAsia" w:ascii="宋体" w:hAnsi="宋体"/>
          <w:color w:val="auto"/>
          <w:sz w:val="21"/>
          <w:szCs w:val="21"/>
          <w:highlight w:val="none"/>
        </w:rPr>
        <w:t>须知前附表</w:t>
      </w:r>
      <w:bookmarkEnd w:id="34"/>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1874"/>
        <w:gridCol w:w="6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3"/>
            <w:vAlign w:val="center"/>
          </w:tcPr>
          <w:p>
            <w:pPr>
              <w:pStyle w:val="2"/>
              <w:spacing w:beforeLines="50" w:afterLines="50" w:line="240" w:lineRule="auto"/>
              <w:jc w:val="center"/>
              <w:rPr>
                <w:rFonts w:ascii="宋体" w:hAnsi="宋体"/>
                <w:b/>
                <w:bCs/>
                <w:color w:val="auto"/>
                <w:szCs w:val="21"/>
                <w:highlight w:val="none"/>
              </w:rPr>
            </w:pPr>
            <w:r>
              <w:rPr>
                <w:rFonts w:hint="eastAsia" w:ascii="宋体" w:hAnsi="宋体"/>
                <w:b/>
                <w:bCs/>
                <w:color w:val="auto"/>
                <w:szCs w:val="21"/>
                <w:highlight w:val="none"/>
              </w:rPr>
              <w:t>本表与磋商文件对应章节的内容若不一致，以本表为准。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spacing w:line="240" w:lineRule="auto"/>
              <w:ind w:left="-111" w:leftChars="-53" w:right="-103" w:rightChars="-49"/>
              <w:jc w:val="center"/>
              <w:rPr>
                <w:rFonts w:ascii="宋体" w:hAnsi="宋体"/>
                <w:b/>
                <w:bCs/>
                <w:color w:val="auto"/>
                <w:szCs w:val="21"/>
                <w:highlight w:val="none"/>
              </w:rPr>
            </w:pPr>
            <w:r>
              <w:rPr>
                <w:rFonts w:hint="eastAsia"/>
                <w:b/>
                <w:bCs/>
                <w:color w:val="auto"/>
                <w:szCs w:val="21"/>
                <w:highlight w:val="none"/>
              </w:rPr>
              <w:t>序号</w:t>
            </w:r>
          </w:p>
        </w:tc>
        <w:tc>
          <w:tcPr>
            <w:tcW w:w="1989" w:type="dxa"/>
            <w:vAlign w:val="center"/>
          </w:tcPr>
          <w:p>
            <w:pPr>
              <w:pStyle w:val="2"/>
              <w:spacing w:line="240" w:lineRule="auto"/>
              <w:jc w:val="center"/>
              <w:rPr>
                <w:rFonts w:ascii="宋体" w:hAnsi="宋体"/>
                <w:b/>
                <w:bCs/>
                <w:color w:val="auto"/>
                <w:szCs w:val="21"/>
                <w:highlight w:val="none"/>
              </w:rPr>
            </w:pPr>
            <w:r>
              <w:rPr>
                <w:rFonts w:hint="eastAsia"/>
                <w:b/>
                <w:bCs/>
                <w:color w:val="auto"/>
                <w:szCs w:val="21"/>
                <w:highlight w:val="none"/>
              </w:rPr>
              <w:t>条款名称</w:t>
            </w:r>
          </w:p>
        </w:tc>
        <w:tc>
          <w:tcPr>
            <w:tcW w:w="7185" w:type="dxa"/>
            <w:vAlign w:val="center"/>
          </w:tcPr>
          <w:p>
            <w:pPr>
              <w:pStyle w:val="2"/>
              <w:spacing w:beforeLines="50" w:afterLines="50" w:line="240" w:lineRule="auto"/>
              <w:jc w:val="center"/>
              <w:rPr>
                <w:rFonts w:ascii="宋体" w:hAnsi="宋体"/>
                <w:b/>
                <w:bCs/>
                <w:color w:val="auto"/>
                <w:szCs w:val="21"/>
                <w:highlight w:val="none"/>
              </w:rPr>
            </w:pPr>
            <w:r>
              <w:rPr>
                <w:rFonts w:hint="eastAsia"/>
                <w:b/>
                <w:bCs/>
                <w:color w:val="auto"/>
                <w:szCs w:val="21"/>
                <w:highlight w:val="none"/>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b/>
                <w:bCs/>
                <w:color w:val="auto"/>
                <w:szCs w:val="21"/>
                <w:highlight w:val="none"/>
              </w:rPr>
            </w:pPr>
            <w:r>
              <w:rPr>
                <w:rFonts w:hint="eastAsia"/>
                <w:color w:val="auto"/>
                <w:szCs w:val="21"/>
                <w:highlight w:val="none"/>
              </w:rPr>
              <w:t>采购包情况</w:t>
            </w:r>
          </w:p>
        </w:tc>
        <w:tc>
          <w:tcPr>
            <w:tcW w:w="7185" w:type="dxa"/>
            <w:vAlign w:val="center"/>
          </w:tcPr>
          <w:p>
            <w:pPr>
              <w:pStyle w:val="2"/>
              <w:spacing w:beforeLines="50" w:afterLines="50" w:line="240" w:lineRule="auto"/>
              <w:rPr>
                <w:rFonts w:ascii="宋体" w:hAnsi="宋体"/>
                <w:b/>
                <w:bCs/>
                <w:color w:val="auto"/>
                <w:szCs w:val="21"/>
                <w:highlight w:val="none"/>
              </w:rPr>
            </w:pPr>
            <w:r>
              <w:rPr>
                <w:rFonts w:hint="eastAsia"/>
                <w:color w:val="auto"/>
                <w:szCs w:val="21"/>
                <w:highlight w:val="none"/>
              </w:rPr>
              <w:t>本项目共1个采购包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公告发布媒介</w:t>
            </w:r>
          </w:p>
        </w:tc>
        <w:tc>
          <w:tcPr>
            <w:tcW w:w="7185" w:type="dxa"/>
            <w:vAlign w:val="center"/>
          </w:tcPr>
          <w:p>
            <w:pPr>
              <w:pStyle w:val="2"/>
              <w:spacing w:beforeLines="50" w:afterLines="50" w:line="240" w:lineRule="auto"/>
              <w:jc w:val="left"/>
              <w:rPr>
                <w:rFonts w:hint="eastAsia" w:ascii="宋体" w:hAnsi="宋体"/>
                <w:color w:val="auto"/>
                <w:szCs w:val="21"/>
                <w:highlight w:val="none"/>
              </w:rPr>
            </w:pPr>
            <w:r>
              <w:rPr>
                <w:rFonts w:hint="eastAsia" w:ascii="宋体" w:hAnsi="宋体"/>
                <w:color w:val="auto"/>
                <w:szCs w:val="21"/>
                <w:highlight w:val="none"/>
              </w:rPr>
              <w:t>■中国政府采购网（http://www.ccgp.gov.cn/）</w:t>
            </w:r>
          </w:p>
          <w:p>
            <w:pPr>
              <w:pStyle w:val="2"/>
              <w:spacing w:beforeLines="50" w:afterLines="50" w:line="240" w:lineRule="auto"/>
              <w:jc w:val="left"/>
              <w:rPr>
                <w:rFonts w:hint="eastAsia" w:ascii="宋体" w:hAnsi="宋体"/>
                <w:color w:val="auto"/>
                <w:szCs w:val="21"/>
                <w:highlight w:val="none"/>
              </w:rPr>
            </w:pPr>
            <w:r>
              <w:rPr>
                <w:rFonts w:hint="eastAsia" w:ascii="宋体" w:hAnsi="宋体"/>
                <w:color w:val="auto"/>
                <w:szCs w:val="21"/>
                <w:highlight w:val="none"/>
              </w:rPr>
              <w:t>■广东达禾工程管理有限公司（http://www.gddhzb.cn）</w:t>
            </w:r>
          </w:p>
          <w:p>
            <w:pPr>
              <w:pStyle w:val="2"/>
              <w:spacing w:beforeLines="50" w:afterLines="50" w:line="240" w:lineRule="auto"/>
              <w:jc w:val="left"/>
              <w:rPr>
                <w:rFonts w:ascii="宋体" w:hAnsi="宋体"/>
                <w:color w:val="auto"/>
                <w:szCs w:val="21"/>
                <w:highlight w:val="none"/>
              </w:rPr>
            </w:pPr>
            <w:r>
              <w:rPr>
                <w:rFonts w:hint="eastAsia" w:ascii="宋体" w:hAnsi="宋体"/>
                <w:color w:val="auto"/>
                <w:szCs w:val="21"/>
                <w:highlight w:val="none"/>
              </w:rPr>
              <w:t>相关公告在以上媒体上公布之日即视为有效送达，不再另行通知。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开启方式</w:t>
            </w:r>
          </w:p>
        </w:tc>
        <w:tc>
          <w:tcPr>
            <w:tcW w:w="7185" w:type="dxa"/>
            <w:vAlign w:val="center"/>
          </w:tcPr>
          <w:p>
            <w:pPr>
              <w:pStyle w:val="2"/>
              <w:spacing w:beforeLines="50" w:afterLines="50" w:line="240" w:lineRule="auto"/>
              <w:rPr>
                <w:rFonts w:ascii="宋体" w:hAnsi="宋体"/>
                <w:color w:val="auto"/>
                <w:szCs w:val="21"/>
                <w:highlight w:val="none"/>
              </w:rPr>
            </w:pPr>
            <w:r>
              <w:rPr>
                <w:rFonts w:hint="eastAsia" w:ascii="宋体" w:hAnsi="宋体"/>
                <w:color w:val="auto"/>
                <w:szCs w:val="21"/>
                <w:highlight w:val="none"/>
              </w:rPr>
              <w:t>现场开启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评审方式</w:t>
            </w:r>
          </w:p>
        </w:tc>
        <w:tc>
          <w:tcPr>
            <w:tcW w:w="7185" w:type="dxa"/>
            <w:vAlign w:val="center"/>
          </w:tcPr>
          <w:p>
            <w:pPr>
              <w:pStyle w:val="2"/>
              <w:spacing w:beforeLines="50" w:afterLines="50" w:line="240" w:lineRule="auto"/>
              <w:rPr>
                <w:rFonts w:ascii="宋体" w:hAnsi="宋体"/>
                <w:color w:val="auto"/>
                <w:szCs w:val="21"/>
                <w:highlight w:val="none"/>
              </w:rPr>
            </w:pPr>
            <w:r>
              <w:rPr>
                <w:rFonts w:hint="eastAsia" w:ascii="宋体" w:hAnsi="宋体"/>
                <w:color w:val="auto"/>
                <w:szCs w:val="21"/>
                <w:highlight w:val="none"/>
              </w:rPr>
              <w:t>现场评审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评审办法</w:t>
            </w:r>
          </w:p>
        </w:tc>
        <w:tc>
          <w:tcPr>
            <w:tcW w:w="7185" w:type="dxa"/>
            <w:vAlign w:val="center"/>
          </w:tcPr>
          <w:p>
            <w:pPr>
              <w:pStyle w:val="2"/>
              <w:spacing w:beforeLines="50" w:afterLines="50" w:line="240" w:lineRule="auto"/>
              <w:rPr>
                <w:rFonts w:ascii="宋体" w:hAnsi="宋体"/>
                <w:color w:val="auto"/>
                <w:szCs w:val="21"/>
                <w:highlight w:val="none"/>
              </w:rPr>
            </w:pPr>
            <w:r>
              <w:rPr>
                <w:rFonts w:hint="eastAsia" w:ascii="宋体" w:hAnsi="宋体"/>
                <w:color w:val="auto"/>
                <w:szCs w:val="21"/>
                <w:highlight w:val="none"/>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报价形式</w:t>
            </w:r>
          </w:p>
        </w:tc>
        <w:tc>
          <w:tcPr>
            <w:tcW w:w="7185" w:type="dxa"/>
            <w:vAlign w:val="center"/>
          </w:tcPr>
          <w:p>
            <w:pPr>
              <w:pStyle w:val="2"/>
              <w:spacing w:beforeLines="50" w:afterLines="50" w:line="240" w:lineRule="auto"/>
              <w:rPr>
                <w:rFonts w:ascii="宋体" w:hAnsi="宋体"/>
                <w:color w:val="auto"/>
                <w:szCs w:val="21"/>
                <w:highlight w:val="none"/>
              </w:rPr>
            </w:pPr>
            <w:r>
              <w:rPr>
                <w:rFonts w:hint="eastAsia" w:ascii="宋体" w:hAnsi="宋体"/>
                <w:color w:val="auto"/>
                <w:szCs w:val="21"/>
                <w:highlight w:val="none"/>
              </w:rPr>
              <w:sym w:font="Wingdings" w:char="00A8"/>
            </w:r>
            <w:r>
              <w:rPr>
                <w:rFonts w:hint="eastAsia" w:ascii="宋体" w:hAnsi="宋体"/>
                <w:color w:val="auto"/>
                <w:szCs w:val="21"/>
                <w:highlight w:val="none"/>
              </w:rPr>
              <w:t>总价 /</w:t>
            </w:r>
            <w:r>
              <w:rPr>
                <w:rFonts w:ascii="宋体" w:hAnsi="宋体"/>
                <w:color w:val="auto"/>
                <w:szCs w:val="21"/>
                <w:highlight w:val="none"/>
              </w:rPr>
              <w:t xml:space="preserve"> </w:t>
            </w:r>
            <w:r>
              <w:rPr>
                <w:rFonts w:ascii="宋体" w:hAnsi="宋体"/>
                <w:color w:val="auto"/>
                <w:szCs w:val="21"/>
                <w:highlight w:val="none"/>
              </w:rPr>
              <w:sym w:font="Wingdings" w:char="00A8"/>
            </w:r>
            <w:r>
              <w:rPr>
                <w:rFonts w:hint="eastAsia" w:ascii="宋体" w:hAnsi="宋体"/>
                <w:color w:val="auto"/>
                <w:szCs w:val="21"/>
                <w:highlight w:val="none"/>
              </w:rPr>
              <w:t>折扣率 /</w:t>
            </w:r>
            <w:r>
              <w:rPr>
                <w:rFonts w:ascii="宋体" w:hAnsi="宋体"/>
                <w:color w:val="auto"/>
                <w:szCs w:val="21"/>
                <w:highlight w:val="none"/>
              </w:rPr>
              <w:t xml:space="preserve"> ■</w:t>
            </w:r>
            <w:r>
              <w:rPr>
                <w:rFonts w:hint="eastAsia" w:ascii="宋体" w:hAnsi="宋体"/>
                <w:color w:val="auto"/>
                <w:szCs w:val="21"/>
                <w:highlight w:val="none"/>
              </w:rPr>
              <w:t>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报价要求</w:t>
            </w:r>
          </w:p>
        </w:tc>
        <w:tc>
          <w:tcPr>
            <w:tcW w:w="7185" w:type="dxa"/>
            <w:vAlign w:val="center"/>
          </w:tcPr>
          <w:p>
            <w:pPr>
              <w:pStyle w:val="2"/>
              <w:spacing w:beforeLines="50" w:afterLines="50"/>
              <w:rPr>
                <w:rFonts w:ascii="宋体" w:hAnsi="宋体"/>
                <w:color w:val="auto"/>
                <w:szCs w:val="21"/>
                <w:highlight w:val="none"/>
              </w:rPr>
            </w:pPr>
            <w:r>
              <w:rPr>
                <w:rFonts w:hint="eastAsia" w:ascii="宋体" w:hAnsi="宋体"/>
                <w:color w:val="auto"/>
                <w:szCs w:val="21"/>
                <w:highlight w:val="none"/>
              </w:rPr>
              <w:t>报价需包括但不限于完成合同约定所需的人工费、差旅（交通、住宿）费、餐费、专家费、保险、税金、管理费、利润、税金、采购代理服务费，以及所有需要向第三方支付的版权费、专利费等在内的所有费用。供应商漏报或不报，采购人将视为该漏报或不报部分的费用已包括在已报的报价中而不予支付。</w:t>
            </w:r>
            <w:r>
              <w:rPr>
                <w:rFonts w:hint="eastAsia" w:ascii="宋体" w:hAnsi="宋体"/>
                <w:b/>
                <w:bCs/>
                <w:color w:val="auto"/>
                <w:szCs w:val="21"/>
                <w:highlight w:val="none"/>
              </w:rPr>
              <w:t>供应商响应报价不得高于最高限价，否则作无效响应处理。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核心产品</w:t>
            </w:r>
          </w:p>
        </w:tc>
        <w:tc>
          <w:tcPr>
            <w:tcW w:w="7185" w:type="dxa"/>
            <w:vAlign w:val="center"/>
          </w:tcPr>
          <w:p>
            <w:pPr>
              <w:pStyle w:val="2"/>
              <w:spacing w:beforeLines="50" w:afterLines="50" w:line="240" w:lineRule="auto"/>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 xml:space="preserve">本项目不涉及 </w:t>
            </w:r>
            <w:r>
              <w:rPr>
                <w:rFonts w:ascii="宋体" w:hAnsi="宋体"/>
                <w:color w:val="auto"/>
                <w:szCs w:val="21"/>
                <w:highlight w:val="none"/>
              </w:rPr>
              <w:t>/ □</w:t>
            </w:r>
            <w:r>
              <w:rPr>
                <w:rFonts w:hint="eastAsia" w:ascii="宋体" w:hAnsi="宋体"/>
                <w:color w:val="auto"/>
                <w:szCs w:val="21"/>
                <w:highlight w:val="none"/>
              </w:rPr>
              <w:t>核心产品：</w:t>
            </w:r>
            <w:r>
              <w:rPr>
                <w:rFonts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现场踏勘</w:t>
            </w:r>
          </w:p>
        </w:tc>
        <w:tc>
          <w:tcPr>
            <w:tcW w:w="7185" w:type="dxa"/>
            <w:vAlign w:val="center"/>
          </w:tcPr>
          <w:p>
            <w:pPr>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否 /</w:t>
            </w:r>
            <w:r>
              <w:rPr>
                <w:rFonts w:ascii="宋体" w:hAnsi="宋体"/>
                <w:color w:val="auto"/>
                <w:szCs w:val="21"/>
                <w:highlight w:val="none"/>
              </w:rPr>
              <w:t xml:space="preserve"> □</w:t>
            </w:r>
            <w:r>
              <w:rPr>
                <w:rFonts w:hint="eastAsia" w:ascii="宋体" w:hAnsi="宋体"/>
                <w:color w:val="auto"/>
                <w:szCs w:val="21"/>
                <w:highlight w:val="none"/>
              </w:rPr>
              <w:t>是，踏勘详细要求：</w:t>
            </w:r>
          </w:p>
          <w:p>
            <w:pPr>
              <w:rPr>
                <w:rFonts w:ascii="宋体" w:hAnsi="宋体"/>
                <w:color w:val="auto"/>
                <w:szCs w:val="21"/>
                <w:highlight w:val="none"/>
              </w:rPr>
            </w:pPr>
            <w:r>
              <w:rPr>
                <w:rFonts w:hint="eastAsia" w:ascii="宋体" w:hAnsi="宋体"/>
                <w:color w:val="auto"/>
                <w:szCs w:val="21"/>
                <w:highlight w:val="none"/>
              </w:rPr>
              <w:t>时间：</w:t>
            </w:r>
            <w:r>
              <w:rPr>
                <w:rFonts w:ascii="宋体" w:hAnsi="宋体"/>
                <w:color w:val="auto"/>
                <w:szCs w:val="21"/>
                <w:highlight w:val="none"/>
              </w:rPr>
              <w:t>/</w:t>
            </w:r>
          </w:p>
          <w:p>
            <w:pPr>
              <w:rPr>
                <w:rFonts w:ascii="宋体" w:hAnsi="宋体"/>
                <w:color w:val="auto"/>
                <w:szCs w:val="21"/>
                <w:highlight w:val="none"/>
              </w:rPr>
            </w:pPr>
            <w:r>
              <w:rPr>
                <w:rFonts w:hint="eastAsia" w:ascii="宋体" w:hAnsi="宋体"/>
                <w:color w:val="auto"/>
                <w:szCs w:val="21"/>
                <w:highlight w:val="none"/>
              </w:rPr>
              <w:t>地点：</w:t>
            </w:r>
            <w:r>
              <w:rPr>
                <w:rFonts w:ascii="宋体" w:hAnsi="宋体"/>
                <w:color w:val="auto"/>
                <w:szCs w:val="21"/>
                <w:highlight w:val="none"/>
              </w:rPr>
              <w:t>/</w:t>
            </w:r>
          </w:p>
          <w:p>
            <w:pPr>
              <w:rPr>
                <w:rFonts w:ascii="宋体" w:hAnsi="宋体"/>
                <w:color w:val="auto"/>
                <w:szCs w:val="21"/>
                <w:highlight w:val="none"/>
              </w:rPr>
            </w:pPr>
            <w:r>
              <w:rPr>
                <w:rFonts w:hint="eastAsia" w:ascii="宋体" w:hAnsi="宋体"/>
                <w:color w:val="auto"/>
                <w:szCs w:val="21"/>
                <w:highlight w:val="none"/>
              </w:rPr>
              <w:t>联系人：</w:t>
            </w:r>
            <w:r>
              <w:rPr>
                <w:rFonts w:ascii="宋体" w:hAnsi="宋体"/>
                <w:color w:val="auto"/>
                <w:szCs w:val="21"/>
                <w:highlight w:val="none"/>
              </w:rPr>
              <w:t>/</w:t>
            </w:r>
          </w:p>
          <w:p>
            <w:pPr>
              <w:pStyle w:val="2"/>
              <w:rPr>
                <w:rFonts w:ascii="宋体" w:hAnsi="宋体"/>
                <w:color w:val="auto"/>
                <w:szCs w:val="21"/>
                <w:highlight w:val="none"/>
              </w:rPr>
            </w:pPr>
            <w:r>
              <w:rPr>
                <w:rFonts w:hint="eastAsia" w:ascii="宋体" w:hAnsi="宋体"/>
                <w:color w:val="auto"/>
                <w:szCs w:val="21"/>
                <w:highlight w:val="none"/>
              </w:rPr>
              <w:t>说明：</w:t>
            </w:r>
            <w:r>
              <w:rPr>
                <w:rFonts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响应有效期</w:t>
            </w:r>
          </w:p>
        </w:tc>
        <w:tc>
          <w:tcPr>
            <w:tcW w:w="7185" w:type="dxa"/>
            <w:vAlign w:val="center"/>
          </w:tcPr>
          <w:p>
            <w:pPr>
              <w:pStyle w:val="2"/>
              <w:spacing w:beforeLines="50" w:afterLines="50" w:line="240" w:lineRule="auto"/>
              <w:rPr>
                <w:rFonts w:ascii="宋体" w:hAnsi="宋体"/>
                <w:color w:val="auto"/>
                <w:szCs w:val="21"/>
                <w:highlight w:val="none"/>
              </w:rPr>
            </w:pPr>
            <w:r>
              <w:rPr>
                <w:rFonts w:hint="eastAsia" w:ascii="宋体" w:hAnsi="宋体"/>
                <w:color w:val="auto"/>
                <w:szCs w:val="21"/>
                <w:highlight w:val="none"/>
              </w:rPr>
              <w:t>从提交投标（响应）文件的截止之日起90日历天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响应保证金</w:t>
            </w:r>
          </w:p>
        </w:tc>
        <w:tc>
          <w:tcPr>
            <w:tcW w:w="7185" w:type="dxa"/>
          </w:tcPr>
          <w:p>
            <w:pPr>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本项目无需递交响应保证金</w:t>
            </w:r>
          </w:p>
          <w:p>
            <w:pPr>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本项目需要递交响应保证金，要求如下：</w:t>
            </w:r>
          </w:p>
          <w:p>
            <w:pPr>
              <w:rPr>
                <w:rFonts w:ascii="宋体" w:hAnsi="宋体"/>
                <w:color w:val="auto"/>
                <w:szCs w:val="21"/>
                <w:highlight w:val="none"/>
              </w:rPr>
            </w:pPr>
            <w:r>
              <w:rPr>
                <w:rFonts w:hint="eastAsia" w:ascii="宋体" w:hAnsi="宋体"/>
                <w:color w:val="auto"/>
                <w:szCs w:val="21"/>
                <w:highlight w:val="none"/>
              </w:rPr>
              <w:t>保证金人民币：</w:t>
            </w:r>
            <w:r>
              <w:rPr>
                <w:rFonts w:ascii="宋体" w:hAnsi="宋体"/>
                <w:color w:val="auto"/>
                <w:szCs w:val="21"/>
                <w:highlight w:val="none"/>
              </w:rPr>
              <w:t>0.00元整</w:t>
            </w:r>
          </w:p>
          <w:p>
            <w:pPr>
              <w:rPr>
                <w:rFonts w:ascii="宋体" w:hAnsi="宋体"/>
                <w:color w:val="auto"/>
                <w:szCs w:val="21"/>
                <w:highlight w:val="none"/>
              </w:rPr>
            </w:pPr>
            <w:r>
              <w:rPr>
                <w:rFonts w:hint="eastAsia" w:ascii="宋体" w:hAnsi="宋体"/>
                <w:color w:val="auto"/>
                <w:szCs w:val="21"/>
                <w:highlight w:val="none"/>
              </w:rPr>
              <w:t>开户单位：广东达禾工程管理有限公司</w:t>
            </w:r>
          </w:p>
          <w:p>
            <w:pPr>
              <w:rPr>
                <w:rFonts w:ascii="宋体" w:hAnsi="宋体"/>
                <w:color w:val="auto"/>
                <w:szCs w:val="21"/>
                <w:highlight w:val="none"/>
              </w:rPr>
            </w:pPr>
            <w:r>
              <w:rPr>
                <w:rFonts w:hint="eastAsia" w:ascii="宋体" w:hAnsi="宋体"/>
                <w:color w:val="auto"/>
                <w:szCs w:val="21"/>
                <w:highlight w:val="none"/>
              </w:rPr>
              <w:t>开户账号：/</w:t>
            </w:r>
          </w:p>
          <w:p>
            <w:pPr>
              <w:rPr>
                <w:rFonts w:ascii="宋体" w:hAnsi="宋体"/>
                <w:color w:val="auto"/>
                <w:szCs w:val="21"/>
                <w:highlight w:val="none"/>
              </w:rPr>
            </w:pPr>
            <w:r>
              <w:rPr>
                <w:rFonts w:hint="eastAsia" w:ascii="宋体" w:hAnsi="宋体"/>
                <w:color w:val="auto"/>
                <w:szCs w:val="21"/>
                <w:highlight w:val="none"/>
              </w:rPr>
              <w:t>开户银行：/</w:t>
            </w:r>
          </w:p>
          <w:p>
            <w:pPr>
              <w:rPr>
                <w:rFonts w:ascii="宋体" w:hAnsi="宋体"/>
                <w:color w:val="auto"/>
                <w:szCs w:val="21"/>
                <w:highlight w:val="none"/>
              </w:rPr>
            </w:pPr>
            <w:r>
              <w:rPr>
                <w:rFonts w:hint="eastAsia" w:ascii="宋体" w:hAnsi="宋体"/>
                <w:color w:val="auto"/>
                <w:szCs w:val="21"/>
                <w:highlight w:val="none"/>
              </w:rPr>
              <w:t>提交方式：转账、支票、汇票、本票、保函等非现金形式</w:t>
            </w:r>
          </w:p>
          <w:p>
            <w:pPr>
              <w:rPr>
                <w:rFonts w:ascii="宋体" w:hAnsi="宋体"/>
                <w:color w:val="auto"/>
                <w:szCs w:val="21"/>
                <w:highlight w:val="none"/>
              </w:rPr>
            </w:pPr>
            <w:r>
              <w:rPr>
                <w:rFonts w:hint="eastAsia" w:ascii="宋体" w:hAnsi="宋体"/>
                <w:color w:val="auto"/>
                <w:szCs w:val="21"/>
                <w:highlight w:val="none"/>
              </w:rPr>
              <w:t>投标保证金有效期：与响应有效期一致</w:t>
            </w:r>
          </w:p>
          <w:p>
            <w:pPr>
              <w:pStyle w:val="2"/>
              <w:rPr>
                <w:rFonts w:ascii="宋体" w:hAnsi="宋体"/>
                <w:color w:val="auto"/>
                <w:szCs w:val="21"/>
                <w:highlight w:val="none"/>
              </w:rPr>
            </w:pPr>
            <w:r>
              <w:rPr>
                <w:rFonts w:hint="eastAsia" w:ascii="宋体" w:hAnsi="宋体"/>
                <w:color w:val="auto"/>
                <w:szCs w:val="21"/>
                <w:highlight w:val="none"/>
              </w:rPr>
              <w:t>纸质保函：通过金融机构、专业担保机构开具的纸质保函，须密封递交原件。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成交候选供应商推荐家数</w:t>
            </w:r>
          </w:p>
        </w:tc>
        <w:tc>
          <w:tcPr>
            <w:tcW w:w="7185" w:type="dxa"/>
            <w:vAlign w:val="center"/>
          </w:tcPr>
          <w:p>
            <w:pPr>
              <w:pStyle w:val="2"/>
              <w:spacing w:beforeLines="50" w:afterLines="50" w:line="240" w:lineRule="auto"/>
              <w:rPr>
                <w:rFonts w:ascii="宋体" w:hAnsi="宋体"/>
                <w:color w:val="auto"/>
                <w:szCs w:val="21"/>
                <w:highlight w:val="none"/>
              </w:rPr>
            </w:pPr>
            <w:r>
              <w:rPr>
                <w:rFonts w:hint="eastAsia" w:ascii="宋体" w:hAnsi="宋体"/>
                <w:color w:val="auto"/>
                <w:szCs w:val="21"/>
                <w:highlight w:val="none"/>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成交供应商家数</w:t>
            </w:r>
          </w:p>
        </w:tc>
        <w:tc>
          <w:tcPr>
            <w:tcW w:w="7185" w:type="dxa"/>
            <w:vAlign w:val="center"/>
          </w:tcPr>
          <w:p>
            <w:pPr>
              <w:pStyle w:val="2"/>
              <w:spacing w:beforeLines="50" w:afterLines="50" w:line="240" w:lineRule="auto"/>
              <w:rPr>
                <w:rFonts w:ascii="宋体" w:hAnsi="宋体"/>
                <w:color w:val="auto"/>
                <w:szCs w:val="21"/>
                <w:highlight w:val="none"/>
              </w:rPr>
            </w:pPr>
            <w:r>
              <w:rPr>
                <w:rFonts w:hint="eastAsia" w:ascii="宋体" w:hAnsi="宋体"/>
                <w:color w:val="auto"/>
                <w:szCs w:val="21"/>
                <w:highlight w:val="none"/>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有效供应商家数</w:t>
            </w:r>
          </w:p>
        </w:tc>
        <w:tc>
          <w:tcPr>
            <w:tcW w:w="7185" w:type="dxa"/>
            <w:vAlign w:val="center"/>
          </w:tcPr>
          <w:p>
            <w:pPr>
              <w:pStyle w:val="2"/>
              <w:spacing w:beforeLines="50" w:afterLines="50"/>
              <w:rPr>
                <w:rFonts w:ascii="宋体" w:hAnsi="宋体"/>
                <w:color w:val="auto"/>
                <w:szCs w:val="21"/>
                <w:highlight w:val="none"/>
              </w:rPr>
            </w:pPr>
            <w:r>
              <w:rPr>
                <w:rFonts w:hint="eastAsia" w:ascii="宋体" w:hAnsi="宋体"/>
                <w:color w:val="auto"/>
                <w:szCs w:val="21"/>
                <w:highlight w:val="none"/>
              </w:rPr>
              <w:t>3家。此人数约定了开启与评审过程中的最低有效供应商家数，当家数不足时项目将不得开启、不得评审或直接终止采购。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项目兼投兼中（兼投不兼中）规则</w:t>
            </w:r>
          </w:p>
        </w:tc>
        <w:tc>
          <w:tcPr>
            <w:tcW w:w="7185" w:type="dxa"/>
            <w:vAlign w:val="center"/>
          </w:tcPr>
          <w:p>
            <w:pPr>
              <w:pStyle w:val="2"/>
              <w:spacing w:beforeLines="50" w:afterLines="50" w:line="240" w:lineRule="auto"/>
              <w:rPr>
                <w:rFonts w:ascii="宋体" w:hAnsi="宋体"/>
                <w:color w:val="auto"/>
                <w:szCs w:val="21"/>
                <w:highlight w:val="none"/>
              </w:rPr>
            </w:pPr>
            <w:r>
              <w:rPr>
                <w:rFonts w:hint="eastAsia" w:ascii="宋体" w:hAnsi="宋体"/>
                <w:color w:val="auto"/>
                <w:szCs w:val="21"/>
                <w:highlight w:val="none"/>
              </w:rPr>
              <w:t>本项目不涉及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成交供应商确定方式</w:t>
            </w:r>
          </w:p>
        </w:tc>
        <w:tc>
          <w:tcPr>
            <w:tcW w:w="7185" w:type="dxa"/>
            <w:vAlign w:val="center"/>
          </w:tcPr>
          <w:p>
            <w:pPr>
              <w:pStyle w:val="2"/>
              <w:spacing w:beforeLines="5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采购人按照评审报告中推荐的成交候选人确定成交人。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代理服务费</w:t>
            </w:r>
          </w:p>
        </w:tc>
        <w:tc>
          <w:tcPr>
            <w:tcW w:w="7185" w:type="dxa"/>
            <w:vAlign w:val="center"/>
          </w:tcPr>
          <w:p>
            <w:pPr>
              <w:rPr>
                <w:rFonts w:hint="default" w:ascii="宋体" w:hAnsi="宋体"/>
                <w:color w:val="auto"/>
                <w:szCs w:val="21"/>
                <w:highlight w:val="none"/>
                <w:lang w:val="en-US"/>
              </w:rPr>
            </w:pPr>
            <w:r>
              <w:rPr>
                <w:rFonts w:hint="eastAsia" w:ascii="宋体" w:hAnsi="宋体"/>
                <w:color w:val="auto"/>
                <w:szCs w:val="21"/>
                <w:highlight w:val="none"/>
              </w:rPr>
              <w:t>收费标准：</w:t>
            </w:r>
            <w:r>
              <w:rPr>
                <w:rFonts w:hint="eastAsia" w:ascii="宋体" w:hAnsi="宋体"/>
                <w:color w:val="auto"/>
                <w:szCs w:val="21"/>
                <w:highlight w:val="none"/>
                <w:lang w:val="en-US" w:eastAsia="zh-CN"/>
              </w:rPr>
              <w:t>向中标（成交）供应商定额收取人民币玖仟伍佰元整（￥9,500.00）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代理服务费收取方式</w:t>
            </w:r>
          </w:p>
        </w:tc>
        <w:tc>
          <w:tcPr>
            <w:tcW w:w="7185" w:type="dxa"/>
            <w:vAlign w:val="center"/>
          </w:tcPr>
          <w:p>
            <w:pPr>
              <w:pStyle w:val="2"/>
              <w:spacing w:beforeLines="50" w:afterLines="50" w:line="240" w:lineRule="auto"/>
              <w:rPr>
                <w:rFonts w:hint="eastAsia" w:ascii="宋体" w:hAnsi="宋体" w:eastAsia="宋体"/>
                <w:color w:val="auto"/>
                <w:szCs w:val="21"/>
                <w:highlight w:val="none"/>
                <w:lang w:eastAsia="zh-CN"/>
              </w:rPr>
            </w:pPr>
            <w:r>
              <w:rPr>
                <w:rFonts w:hint="eastAsia" w:ascii="宋体" w:hAnsi="宋体"/>
                <w:color w:val="auto"/>
                <w:szCs w:val="21"/>
                <w:highlight w:val="none"/>
              </w:rPr>
              <w:t>向</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中标</w:t>
            </w:r>
            <w:r>
              <w:rPr>
                <w:rFonts w:hint="eastAsia" w:ascii="宋体" w:hAnsi="宋体"/>
                <w:color w:val="auto"/>
                <w:szCs w:val="21"/>
                <w:highlight w:val="none"/>
                <w:lang w:eastAsia="zh-CN"/>
              </w:rPr>
              <w:t>）</w:t>
            </w:r>
            <w:r>
              <w:rPr>
                <w:rFonts w:hint="eastAsia" w:ascii="宋体" w:hAnsi="宋体"/>
                <w:color w:val="auto"/>
                <w:szCs w:val="21"/>
                <w:highlight w:val="none"/>
              </w:rPr>
              <w:t>成交供应商收取</w:t>
            </w:r>
            <w:r>
              <w:rPr>
                <w:rFonts w:hint="eastAsia" w:ascii="宋体" w:hAnsi="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响应文件数量和要求</w:t>
            </w:r>
          </w:p>
        </w:tc>
        <w:tc>
          <w:tcPr>
            <w:tcW w:w="7185" w:type="dxa"/>
          </w:tcPr>
          <w:p>
            <w:pPr>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w:t>
            </w:r>
            <w:r>
              <w:rPr>
                <w:rFonts w:hint="eastAsia" w:ascii="宋体" w:hAnsi="宋体"/>
                <w:color w:val="auto"/>
                <w:szCs w:val="21"/>
                <w:highlight w:val="none"/>
              </w:rPr>
              <w:t>正本1份，副本</w:t>
            </w:r>
            <w:r>
              <w:rPr>
                <w:rFonts w:hint="eastAsia" w:ascii="宋体" w:hAnsi="宋体"/>
                <w:color w:val="auto"/>
                <w:szCs w:val="21"/>
                <w:highlight w:val="none"/>
                <w:lang w:val="en-US" w:eastAsia="zh-CN"/>
              </w:rPr>
              <w:t>3</w:t>
            </w:r>
            <w:r>
              <w:rPr>
                <w:rFonts w:hint="eastAsia" w:ascii="宋体" w:hAnsi="宋体"/>
                <w:color w:val="auto"/>
                <w:szCs w:val="21"/>
                <w:highlight w:val="none"/>
              </w:rPr>
              <w:t>份，电子文件1份。正本与副本不一致时，以正本为准。</w:t>
            </w:r>
          </w:p>
          <w:p>
            <w:pPr>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电子文件：应包含纸质响应文件全部内容，以</w:t>
            </w:r>
            <w:r>
              <w:rPr>
                <w:rFonts w:ascii="宋体" w:hAnsi="宋体"/>
                <w:color w:val="auto"/>
                <w:szCs w:val="21"/>
                <w:highlight w:val="none"/>
              </w:rPr>
              <w:t>U盘或者光盘形式存储</w:t>
            </w:r>
            <w:r>
              <w:rPr>
                <w:rFonts w:hint="eastAsia" w:ascii="宋体" w:hAnsi="宋体"/>
                <w:color w:val="auto"/>
                <w:szCs w:val="21"/>
                <w:highlight w:val="none"/>
              </w:rPr>
              <w:t>；</w:t>
            </w:r>
            <w:r>
              <w:rPr>
                <w:rFonts w:ascii="宋体" w:hAnsi="宋体"/>
                <w:color w:val="auto"/>
                <w:szCs w:val="21"/>
                <w:highlight w:val="none"/>
              </w:rPr>
              <w:t>电子</w:t>
            </w:r>
            <w:r>
              <w:rPr>
                <w:rFonts w:hint="eastAsia" w:ascii="宋体" w:hAnsi="宋体"/>
                <w:color w:val="auto"/>
                <w:szCs w:val="21"/>
                <w:highlight w:val="none"/>
              </w:rPr>
              <w:t>文件</w:t>
            </w:r>
            <w:r>
              <w:rPr>
                <w:rFonts w:ascii="宋体" w:hAnsi="宋体"/>
                <w:color w:val="auto"/>
                <w:szCs w:val="21"/>
                <w:highlight w:val="none"/>
              </w:rPr>
              <w:t>中应</w:t>
            </w:r>
            <w:r>
              <w:rPr>
                <w:rFonts w:hint="eastAsia" w:ascii="宋体" w:hAnsi="宋体"/>
                <w:color w:val="auto"/>
                <w:szCs w:val="21"/>
                <w:highlight w:val="none"/>
              </w:rPr>
              <w:t>包含</w:t>
            </w:r>
            <w:r>
              <w:rPr>
                <w:rFonts w:ascii="宋体" w:hAnsi="宋体"/>
                <w:color w:val="auto"/>
                <w:szCs w:val="21"/>
                <w:highlight w:val="none"/>
              </w:rPr>
              <w:t>Word</w:t>
            </w:r>
            <w:r>
              <w:rPr>
                <w:rFonts w:hint="eastAsia" w:ascii="宋体" w:hAnsi="宋体"/>
                <w:color w:val="auto"/>
                <w:szCs w:val="21"/>
                <w:highlight w:val="none"/>
              </w:rPr>
              <w:t>、Excel</w:t>
            </w:r>
            <w:r>
              <w:rPr>
                <w:rFonts w:ascii="宋体" w:hAnsi="宋体"/>
                <w:color w:val="auto"/>
                <w:szCs w:val="21"/>
                <w:highlight w:val="none"/>
              </w:rPr>
              <w:t>等可编辑</w:t>
            </w:r>
            <w:r>
              <w:rPr>
                <w:rFonts w:hint="eastAsia" w:ascii="宋体" w:hAnsi="宋体"/>
                <w:color w:val="auto"/>
                <w:szCs w:val="21"/>
                <w:highlight w:val="none"/>
              </w:rPr>
              <w:t>文档和签字盖章版的P</w:t>
            </w:r>
            <w:r>
              <w:rPr>
                <w:rFonts w:ascii="宋体" w:hAnsi="宋体"/>
                <w:color w:val="auto"/>
                <w:szCs w:val="21"/>
                <w:highlight w:val="none"/>
              </w:rPr>
              <w:t>DF</w:t>
            </w:r>
            <w:r>
              <w:rPr>
                <w:rFonts w:hint="eastAsia" w:ascii="宋体" w:hAnsi="宋体"/>
                <w:color w:val="auto"/>
                <w:szCs w:val="21"/>
                <w:highlight w:val="none"/>
              </w:rPr>
              <w:t>扫描件；响应</w:t>
            </w:r>
            <w:r>
              <w:rPr>
                <w:rFonts w:ascii="宋体" w:hAnsi="宋体"/>
                <w:color w:val="auto"/>
                <w:szCs w:val="21"/>
                <w:highlight w:val="none"/>
              </w:rPr>
              <w:t>文件</w:t>
            </w:r>
            <w:r>
              <w:rPr>
                <w:rFonts w:hint="eastAsia" w:ascii="宋体" w:hAnsi="宋体"/>
                <w:color w:val="auto"/>
                <w:szCs w:val="21"/>
                <w:highlight w:val="none"/>
              </w:rPr>
              <w:t>包括</w:t>
            </w:r>
            <w:r>
              <w:rPr>
                <w:rFonts w:ascii="宋体" w:hAnsi="宋体"/>
                <w:color w:val="auto"/>
                <w:szCs w:val="21"/>
                <w:highlight w:val="none"/>
              </w:rPr>
              <w:t>的其他电子文档</w:t>
            </w:r>
            <w:r>
              <w:rPr>
                <w:rFonts w:hint="eastAsia" w:ascii="宋体" w:hAnsi="宋体"/>
                <w:color w:val="auto"/>
                <w:szCs w:val="21"/>
                <w:highlight w:val="none"/>
              </w:rPr>
              <w:t>（如视频等）</w:t>
            </w:r>
            <w:r>
              <w:rPr>
                <w:rFonts w:ascii="宋体" w:hAnsi="宋体"/>
                <w:color w:val="auto"/>
                <w:szCs w:val="21"/>
                <w:highlight w:val="none"/>
              </w:rPr>
              <w:t>也应包含在内；若有分项报价</w:t>
            </w:r>
            <w:r>
              <w:rPr>
                <w:rFonts w:hint="eastAsia" w:ascii="宋体" w:hAnsi="宋体"/>
                <w:color w:val="auto"/>
                <w:szCs w:val="21"/>
                <w:highlight w:val="none"/>
              </w:rPr>
              <w:t>表的</w:t>
            </w:r>
            <w:r>
              <w:rPr>
                <w:rFonts w:ascii="宋体" w:hAnsi="宋体"/>
                <w:color w:val="auto"/>
                <w:szCs w:val="21"/>
                <w:highlight w:val="none"/>
              </w:rPr>
              <w:t>，</w:t>
            </w:r>
            <w:r>
              <w:rPr>
                <w:rFonts w:hint="eastAsia" w:ascii="宋体" w:hAnsi="宋体"/>
                <w:color w:val="auto"/>
                <w:szCs w:val="21"/>
                <w:highlight w:val="none"/>
              </w:rPr>
              <w:t>需提供</w:t>
            </w:r>
            <w:r>
              <w:rPr>
                <w:rFonts w:ascii="宋体" w:hAnsi="宋体"/>
                <w:color w:val="auto"/>
                <w:szCs w:val="21"/>
                <w:highlight w:val="none"/>
              </w:rPr>
              <w:t>E</w:t>
            </w:r>
            <w:r>
              <w:rPr>
                <w:rFonts w:hint="eastAsia" w:ascii="宋体" w:hAnsi="宋体"/>
                <w:color w:val="auto"/>
                <w:szCs w:val="21"/>
                <w:highlight w:val="none"/>
              </w:rPr>
              <w:t>xcel版本</w:t>
            </w:r>
            <w:r>
              <w:rPr>
                <w:rFonts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响应文件密封要求</w:t>
            </w:r>
          </w:p>
        </w:tc>
        <w:tc>
          <w:tcPr>
            <w:tcW w:w="7185" w:type="dxa"/>
            <w:vAlign w:val="center"/>
          </w:tcPr>
          <w:p>
            <w:pPr>
              <w:pStyle w:val="2"/>
              <w:rPr>
                <w:rFonts w:ascii="宋体" w:hAnsi="宋体"/>
                <w:color w:val="auto"/>
                <w:szCs w:val="21"/>
                <w:highlight w:val="none"/>
              </w:rPr>
            </w:pPr>
            <w:r>
              <w:rPr>
                <w:rFonts w:hint="eastAsia" w:ascii="宋体" w:hAnsi="宋体"/>
                <w:color w:val="auto"/>
                <w:szCs w:val="21"/>
                <w:highlight w:val="none"/>
              </w:rPr>
              <w:t>响应文件正本与副本可以单独密封包装，也可以所有响应文件密封包装在一个密封袋内，密封袋的封口处应粘贴处理。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合同签订</w:t>
            </w:r>
          </w:p>
        </w:tc>
        <w:tc>
          <w:tcPr>
            <w:tcW w:w="7185" w:type="dxa"/>
            <w:vAlign w:val="center"/>
          </w:tcPr>
          <w:p>
            <w:pPr>
              <w:pStyle w:val="2"/>
              <w:rPr>
                <w:rFonts w:ascii="宋体" w:hAnsi="宋体"/>
                <w:color w:val="auto"/>
                <w:szCs w:val="21"/>
                <w:highlight w:val="none"/>
              </w:rPr>
            </w:pPr>
            <w:r>
              <w:rPr>
                <w:rFonts w:hint="eastAsia" w:ascii="宋体" w:hAnsi="宋体"/>
                <w:color w:val="auto"/>
                <w:szCs w:val="21"/>
                <w:highlight w:val="none"/>
              </w:rPr>
              <w:t>本采购文件提供的合同文本仅供参考，具体条款内容由采购人和成交供应商协商确定，但不得对采购文件和响应文件的实质性条款作出变更，且必须包括采购人与成交人的名称和住所、标的、数量、质量、价款或者报酬、履行期限及地址和方式、验收要求、违约责任、解决争议的方法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专门面向中小企业采购</w:t>
            </w:r>
          </w:p>
        </w:tc>
        <w:tc>
          <w:tcPr>
            <w:tcW w:w="7185" w:type="dxa"/>
            <w:vAlign w:val="center"/>
          </w:tcPr>
          <w:p>
            <w:pPr>
              <w:pStyle w:val="2"/>
              <w:spacing w:line="240" w:lineRule="auto"/>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是 /</w:t>
            </w:r>
            <w:r>
              <w:rPr>
                <w:rFonts w:ascii="宋体" w:hAnsi="宋体"/>
                <w:color w:val="auto"/>
                <w:szCs w:val="21"/>
                <w:highlight w:val="none"/>
              </w:rPr>
              <w:t xml:space="preserve"> </w:t>
            </w:r>
            <w:r>
              <w:rPr>
                <w:rFonts w:hint="eastAsia" w:ascii="宋体" w:hAnsi="宋体"/>
                <w:color w:val="auto"/>
                <w:szCs w:val="21"/>
                <w:highlight w:val="none"/>
                <w:lang w:eastAsia="zh-CN"/>
              </w:rPr>
              <w:t>□</w:t>
            </w:r>
            <w:r>
              <w:rPr>
                <w:rFonts w:hint="eastAsia" w:ascii="宋体" w:hAnsi="宋体"/>
                <w:color w:val="auto"/>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本项目所属行业</w:t>
            </w:r>
          </w:p>
        </w:tc>
        <w:tc>
          <w:tcPr>
            <w:tcW w:w="7185" w:type="dxa"/>
            <w:vAlign w:val="center"/>
          </w:tcPr>
          <w:p>
            <w:pPr>
              <w:pStyle w:val="2"/>
              <w:spacing w:line="240" w:lineRule="auto"/>
              <w:rPr>
                <w:rFonts w:ascii="宋体" w:hAnsi="宋体"/>
                <w:color w:val="auto"/>
                <w:szCs w:val="21"/>
                <w:highlight w:val="none"/>
              </w:rPr>
            </w:pPr>
            <w:r>
              <w:rPr>
                <w:color w:val="auto"/>
                <w:highlight w:val="none"/>
              </w:rPr>
              <w:t>其他未列明行业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2" w:type="dxa"/>
            <w:vAlign w:val="center"/>
          </w:tcPr>
          <w:p>
            <w:pPr>
              <w:pStyle w:val="2"/>
              <w:numPr>
                <w:ilvl w:val="0"/>
                <w:numId w:val="16"/>
              </w:numPr>
              <w:spacing w:line="240" w:lineRule="auto"/>
              <w:ind w:left="0" w:firstLine="0"/>
              <w:jc w:val="center"/>
              <w:rPr>
                <w:rFonts w:ascii="宋体" w:hAnsi="宋体"/>
                <w:color w:val="auto"/>
                <w:szCs w:val="21"/>
                <w:highlight w:val="none"/>
              </w:rPr>
            </w:pPr>
          </w:p>
        </w:tc>
        <w:tc>
          <w:tcPr>
            <w:tcW w:w="1989" w:type="dxa"/>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其他</w:t>
            </w:r>
          </w:p>
        </w:tc>
        <w:tc>
          <w:tcPr>
            <w:tcW w:w="7185" w:type="dxa"/>
            <w:vAlign w:val="center"/>
          </w:tcPr>
          <w:p>
            <w:pPr>
              <w:pStyle w:val="2"/>
              <w:spacing w:line="240" w:lineRule="auto"/>
              <w:jc w:val="left"/>
              <w:rPr>
                <w:rFonts w:ascii="宋体" w:hAnsi="宋体"/>
                <w:color w:val="auto"/>
                <w:szCs w:val="21"/>
                <w:highlight w:val="none"/>
              </w:rPr>
            </w:pPr>
            <w:r>
              <w:rPr>
                <w:rFonts w:hint="eastAsia"/>
                <w:color w:val="auto"/>
                <w:szCs w:val="21"/>
                <w:highlight w:val="none"/>
              </w:rPr>
              <w:t>未经采购人同意，不得分包。</w:t>
            </w:r>
          </w:p>
        </w:tc>
      </w:tr>
    </w:tbl>
    <w:p>
      <w:pPr>
        <w:rPr>
          <w:color w:val="auto"/>
          <w:highlight w:val="none"/>
        </w:rPr>
      </w:pPr>
      <w:bookmarkStart w:id="35" w:name="_Toc104040690"/>
    </w:p>
    <w:p>
      <w:pPr>
        <w:pStyle w:val="4"/>
        <w:numPr>
          <w:ilvl w:val="0"/>
          <w:numId w:val="15"/>
        </w:numPr>
        <w:spacing w:before="120" w:after="120"/>
        <w:ind w:left="0" w:firstLine="0"/>
        <w:rPr>
          <w:rFonts w:ascii="宋体" w:hAnsi="宋体"/>
          <w:color w:val="auto"/>
          <w:sz w:val="21"/>
          <w:szCs w:val="21"/>
          <w:highlight w:val="none"/>
        </w:rPr>
      </w:pPr>
      <w:r>
        <w:rPr>
          <w:rFonts w:hint="eastAsia" w:ascii="宋体" w:hAnsi="宋体"/>
          <w:color w:val="auto"/>
          <w:sz w:val="21"/>
          <w:szCs w:val="21"/>
          <w:highlight w:val="none"/>
        </w:rPr>
        <w:t>说明</w:t>
      </w:r>
      <w:bookmarkEnd w:id="35"/>
    </w:p>
    <w:p>
      <w:pPr>
        <w:pStyle w:val="126"/>
        <w:numPr>
          <w:ilvl w:val="1"/>
          <w:numId w:val="0"/>
        </w:numPr>
        <w:spacing w:beforeLines="50" w:afterLines="50"/>
        <w:ind w:left="420" w:leftChars="0" w:hanging="420" w:firstLineChars="0"/>
        <w:outlineLvl w:val="2"/>
        <w:rPr>
          <w:rFonts w:hint="eastAsia" w:ascii="宋体" w:hAnsi="宋体" w:eastAsia="宋体" w:cs="Times New Roman"/>
          <w:b/>
          <w:bCs/>
          <w:color w:val="auto"/>
          <w:kern w:val="1"/>
          <w:sz w:val="21"/>
          <w:szCs w:val="22"/>
          <w:lang w:val="en-US" w:eastAsia="ar-SA" w:bidi="ar-SA"/>
        </w:rPr>
      </w:pP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1.</w:t>
      </w:r>
      <w:r>
        <w:rPr>
          <w:rFonts w:hint="eastAsia" w:ascii="宋体" w:hAnsi="宋体"/>
          <w:b/>
          <w:bCs/>
          <w:color w:val="auto"/>
          <w:highlight w:val="none"/>
        </w:rPr>
        <w:t>总则</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pPr>
        <w:pStyle w:val="2"/>
        <w:ind w:firstLine="420" w:firstLineChars="200"/>
        <w:rPr>
          <w:rFonts w:ascii="宋体" w:hAnsi="宋体"/>
          <w:color w:val="auto"/>
          <w:szCs w:val="20"/>
          <w:highlight w:val="none"/>
        </w:rPr>
      </w:pPr>
      <w:r>
        <w:rPr>
          <w:rFonts w:hint="eastAsia" w:ascii="宋体" w:hAnsi="宋体"/>
          <w:color w:val="auto"/>
          <w:szCs w:val="20"/>
          <w:highlight w:val="none"/>
        </w:rPr>
        <w:t>供应商应仔细阅读本项目信息公告及磋商文件的所有内容（包括变更、补充、澄清以及修改等，且均为磋商文件的组成部分），按照磋商文件要求以及格式编制响应文件，并保证其真实性，否则一切后果自负。</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本次竞争性磋商项目，是以磋商公告的方式邀请非特定的供应商参加磋商。</w:t>
      </w: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2.</w:t>
      </w:r>
      <w:r>
        <w:rPr>
          <w:rFonts w:hint="eastAsia" w:ascii="宋体" w:hAnsi="宋体"/>
          <w:b/>
          <w:bCs/>
          <w:color w:val="auto"/>
          <w:highlight w:val="none"/>
        </w:rPr>
        <w:t>适用范围</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本磋商文件仅适用于本次磋商公告中所涉及的项目和内容。</w:t>
      </w: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3.</w:t>
      </w:r>
      <w:r>
        <w:rPr>
          <w:rFonts w:hint="eastAsia" w:ascii="宋体" w:hAnsi="宋体"/>
          <w:b/>
          <w:bCs/>
          <w:color w:val="auto"/>
          <w:highlight w:val="none"/>
        </w:rPr>
        <w:t>进口产品</w:t>
      </w:r>
    </w:p>
    <w:p>
      <w:pPr>
        <w:pStyle w:val="2"/>
        <w:ind w:firstLine="420" w:firstLineChars="200"/>
        <w:rPr>
          <w:rFonts w:ascii="宋体" w:hAnsi="宋体"/>
          <w:color w:val="auto"/>
          <w:szCs w:val="20"/>
          <w:highlight w:val="none"/>
        </w:rPr>
      </w:pPr>
      <w:r>
        <w:rPr>
          <w:rFonts w:hint="eastAsia" w:ascii="宋体" w:hAnsi="宋体"/>
          <w:color w:val="auto"/>
          <w:szCs w:val="20"/>
          <w:highlight w:val="none"/>
        </w:rPr>
        <w:t>若本项目允许采购进口产品，供应商应保证所投产品可履行合法报通关手续进入中国关境内。</w:t>
      </w:r>
    </w:p>
    <w:p>
      <w:pPr>
        <w:pStyle w:val="2"/>
        <w:ind w:firstLine="420" w:firstLineChars="200"/>
        <w:rPr>
          <w:rFonts w:ascii="宋体" w:hAnsi="宋体"/>
          <w:color w:val="auto"/>
          <w:szCs w:val="20"/>
          <w:highlight w:val="none"/>
        </w:rPr>
      </w:pPr>
      <w:r>
        <w:rPr>
          <w:rFonts w:hint="eastAsia" w:ascii="宋体" w:hAnsi="宋体"/>
          <w:color w:val="auto"/>
          <w:szCs w:val="20"/>
          <w:highlight w:val="none"/>
        </w:rPr>
        <w:t>若本项目不允许采购进口产品，如供应商所投产品为进口产品，其响应将被认定为响应无效。</w:t>
      </w: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4.</w:t>
      </w:r>
      <w:r>
        <w:rPr>
          <w:rFonts w:hint="eastAsia" w:ascii="宋体" w:hAnsi="宋体"/>
          <w:b/>
          <w:bCs/>
          <w:color w:val="auto"/>
          <w:highlight w:val="none"/>
        </w:rPr>
        <w:t>磋商费用</w:t>
      </w:r>
    </w:p>
    <w:p>
      <w:pPr>
        <w:pStyle w:val="2"/>
        <w:ind w:firstLine="420" w:firstLineChars="200"/>
        <w:rPr>
          <w:rFonts w:ascii="宋体" w:hAnsi="宋体"/>
          <w:color w:val="auto"/>
          <w:szCs w:val="20"/>
          <w:highlight w:val="none"/>
        </w:rPr>
      </w:pPr>
      <w:r>
        <w:rPr>
          <w:rFonts w:hint="eastAsia" w:ascii="宋体" w:hAnsi="宋体"/>
          <w:color w:val="auto"/>
          <w:szCs w:val="20"/>
          <w:highlight w:val="none"/>
        </w:rPr>
        <w:t>不论磋商结果如何，供应商应承担所有与准备和参加磋商有关的费用。采购代理机构和采购人均无义务和责任承担相关费用。</w:t>
      </w: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5.</w:t>
      </w:r>
      <w:r>
        <w:rPr>
          <w:rFonts w:hint="eastAsia" w:ascii="宋体" w:hAnsi="宋体"/>
          <w:b/>
          <w:bCs/>
          <w:color w:val="auto"/>
          <w:highlight w:val="none"/>
        </w:rPr>
        <w:t>以联合体形式磋商的，应符合以下规定：</w:t>
      </w:r>
    </w:p>
    <w:p>
      <w:pPr>
        <w:pStyle w:val="2"/>
        <w:ind w:firstLine="420" w:firstLineChars="200"/>
        <w:rPr>
          <w:rFonts w:ascii="宋体" w:hAnsi="宋体"/>
          <w:color w:val="auto"/>
          <w:szCs w:val="20"/>
          <w:highlight w:val="none"/>
        </w:rPr>
      </w:pPr>
      <w:r>
        <w:rPr>
          <w:rFonts w:hint="eastAsia" w:ascii="宋体" w:hAnsi="宋体"/>
          <w:color w:val="auto"/>
          <w:szCs w:val="20"/>
          <w:highlight w:val="none"/>
        </w:rPr>
        <w:t>5</w:t>
      </w:r>
      <w:r>
        <w:rPr>
          <w:rFonts w:ascii="宋体" w:hAnsi="宋体"/>
          <w:color w:val="auto"/>
          <w:szCs w:val="20"/>
          <w:highlight w:val="none"/>
        </w:rPr>
        <w:t>.1</w:t>
      </w:r>
      <w:r>
        <w:rPr>
          <w:rFonts w:hint="eastAsia" w:ascii="宋体" w:hAnsi="宋体"/>
          <w:color w:val="auto"/>
          <w:szCs w:val="20"/>
          <w:highlight w:val="none"/>
        </w:rPr>
        <w:t>联合体各方均应当满足《中华人民共和国政府采购法》第二十二条规定的条件，并在响应文件中提供联合体各方的相关证明材料。</w:t>
      </w:r>
    </w:p>
    <w:p>
      <w:pPr>
        <w:pStyle w:val="2"/>
        <w:ind w:firstLine="420" w:firstLineChars="200"/>
        <w:rPr>
          <w:rFonts w:ascii="宋体" w:hAnsi="宋体"/>
          <w:color w:val="auto"/>
          <w:szCs w:val="20"/>
          <w:highlight w:val="none"/>
        </w:rPr>
      </w:pPr>
      <w:r>
        <w:rPr>
          <w:rFonts w:ascii="宋体" w:hAnsi="宋体"/>
          <w:color w:val="auto"/>
          <w:szCs w:val="20"/>
          <w:highlight w:val="none"/>
        </w:rPr>
        <w:t>5.2</w:t>
      </w:r>
      <w:r>
        <w:rPr>
          <w:rFonts w:hint="eastAsia" w:ascii="宋体" w:hAnsi="宋体"/>
          <w:color w:val="auto"/>
          <w:szCs w:val="20"/>
          <w:highlight w:val="none"/>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2"/>
        <w:ind w:firstLine="420" w:firstLineChars="200"/>
        <w:rPr>
          <w:rFonts w:ascii="宋体" w:hAnsi="宋体"/>
          <w:color w:val="auto"/>
          <w:szCs w:val="20"/>
          <w:highlight w:val="none"/>
        </w:rPr>
      </w:pPr>
      <w:r>
        <w:rPr>
          <w:rFonts w:hint="eastAsia" w:ascii="宋体" w:hAnsi="宋体"/>
          <w:color w:val="auto"/>
          <w:szCs w:val="20"/>
          <w:highlight w:val="none"/>
        </w:rPr>
        <w:t>5</w:t>
      </w:r>
      <w:r>
        <w:rPr>
          <w:rFonts w:ascii="宋体" w:hAnsi="宋体"/>
          <w:color w:val="auto"/>
          <w:szCs w:val="20"/>
          <w:highlight w:val="none"/>
        </w:rPr>
        <w:t>.3</w:t>
      </w:r>
      <w:r>
        <w:rPr>
          <w:rFonts w:hint="eastAsia" w:ascii="宋体" w:hAnsi="宋体"/>
          <w:color w:val="auto"/>
          <w:szCs w:val="20"/>
          <w:highlight w:val="none"/>
        </w:rPr>
        <w:t>联合体名称需与联合体共同响应协议书签署方一致。对于需交响应保证金的，以牵头方名义缴纳。</w:t>
      </w:r>
    </w:p>
    <w:p>
      <w:pPr>
        <w:pStyle w:val="2"/>
        <w:ind w:firstLine="420" w:firstLineChars="200"/>
        <w:rPr>
          <w:rFonts w:ascii="宋体" w:hAnsi="宋体"/>
          <w:color w:val="auto"/>
          <w:szCs w:val="20"/>
          <w:highlight w:val="none"/>
        </w:rPr>
      </w:pPr>
      <w:r>
        <w:rPr>
          <w:rFonts w:hint="eastAsia" w:ascii="宋体" w:hAnsi="宋体"/>
          <w:color w:val="auto"/>
          <w:szCs w:val="20"/>
          <w:highlight w:val="none"/>
        </w:rPr>
        <w:t>5</w:t>
      </w:r>
      <w:r>
        <w:rPr>
          <w:rFonts w:ascii="宋体" w:hAnsi="宋体"/>
          <w:color w:val="auto"/>
          <w:szCs w:val="20"/>
          <w:highlight w:val="none"/>
        </w:rPr>
        <w:t>.4</w:t>
      </w:r>
      <w:r>
        <w:rPr>
          <w:rFonts w:hint="eastAsia" w:ascii="宋体" w:hAnsi="宋体"/>
          <w:color w:val="auto"/>
          <w:szCs w:val="20"/>
          <w:highlight w:val="none"/>
        </w:rPr>
        <w:t>联合体成员存在不良信用记录的，视同联合体存在不良信用记录。</w:t>
      </w:r>
    </w:p>
    <w:p>
      <w:pPr>
        <w:pStyle w:val="2"/>
        <w:ind w:firstLine="420" w:firstLineChars="200"/>
        <w:rPr>
          <w:rFonts w:ascii="宋体" w:hAnsi="宋体"/>
          <w:color w:val="auto"/>
          <w:szCs w:val="20"/>
          <w:highlight w:val="none"/>
        </w:rPr>
      </w:pPr>
      <w:r>
        <w:rPr>
          <w:rFonts w:ascii="宋体" w:hAnsi="宋体"/>
          <w:color w:val="auto"/>
          <w:szCs w:val="20"/>
          <w:highlight w:val="none"/>
        </w:rPr>
        <w:t>5.5</w:t>
      </w:r>
      <w:r>
        <w:rPr>
          <w:rFonts w:hint="eastAsia" w:ascii="宋体" w:hAnsi="宋体"/>
          <w:color w:val="auto"/>
          <w:szCs w:val="20"/>
          <w:highlight w:val="none"/>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2"/>
        <w:ind w:firstLine="420" w:firstLineChars="200"/>
        <w:rPr>
          <w:rFonts w:ascii="宋体" w:hAnsi="宋体"/>
          <w:color w:val="auto"/>
          <w:szCs w:val="20"/>
          <w:highlight w:val="none"/>
        </w:rPr>
      </w:pPr>
      <w:r>
        <w:rPr>
          <w:rFonts w:hint="eastAsia" w:ascii="宋体" w:hAnsi="宋体"/>
          <w:color w:val="auto"/>
          <w:szCs w:val="20"/>
          <w:highlight w:val="none"/>
        </w:rPr>
        <w:t>5</w:t>
      </w:r>
      <w:r>
        <w:rPr>
          <w:rFonts w:ascii="宋体" w:hAnsi="宋体"/>
          <w:color w:val="auto"/>
          <w:szCs w:val="20"/>
          <w:highlight w:val="none"/>
        </w:rPr>
        <w:t>.6</w:t>
      </w:r>
      <w:r>
        <w:rPr>
          <w:rFonts w:hint="eastAsia" w:ascii="宋体" w:hAnsi="宋体"/>
          <w:color w:val="auto"/>
          <w:szCs w:val="20"/>
          <w:highlight w:val="none"/>
        </w:rPr>
        <w:t>联合体各方应当共同与采购人签订采购合同，就合同约定的事项对采购人承担连带责任。</w:t>
      </w: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6.</w:t>
      </w:r>
      <w:r>
        <w:rPr>
          <w:rFonts w:hint="eastAsia" w:ascii="宋体" w:hAnsi="宋体"/>
          <w:b/>
          <w:bCs/>
          <w:color w:val="auto"/>
          <w:highlight w:val="none"/>
        </w:rPr>
        <w:t>关联企业响应说明</w:t>
      </w:r>
    </w:p>
    <w:p>
      <w:pPr>
        <w:pStyle w:val="2"/>
        <w:ind w:firstLine="420" w:firstLineChars="200"/>
        <w:rPr>
          <w:rFonts w:ascii="宋体" w:hAnsi="宋体"/>
          <w:color w:val="auto"/>
          <w:szCs w:val="20"/>
          <w:highlight w:val="none"/>
        </w:rPr>
      </w:pPr>
      <w:r>
        <w:rPr>
          <w:rFonts w:hint="eastAsia" w:ascii="宋体" w:hAnsi="宋体"/>
          <w:color w:val="auto"/>
          <w:szCs w:val="20"/>
          <w:highlight w:val="none"/>
        </w:rPr>
        <w:t>6</w:t>
      </w:r>
      <w:r>
        <w:rPr>
          <w:rFonts w:ascii="宋体" w:hAnsi="宋体"/>
          <w:color w:val="auto"/>
          <w:szCs w:val="20"/>
          <w:highlight w:val="none"/>
        </w:rPr>
        <w:t>.1</w:t>
      </w:r>
      <w:r>
        <w:rPr>
          <w:rFonts w:hint="eastAsia" w:ascii="宋体" w:hAnsi="宋体"/>
          <w:color w:val="auto"/>
          <w:szCs w:val="20"/>
          <w:highlight w:val="none"/>
        </w:rPr>
        <w:t>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2"/>
        <w:ind w:firstLine="420" w:firstLineChars="200"/>
        <w:rPr>
          <w:rFonts w:ascii="宋体" w:hAnsi="宋体"/>
          <w:color w:val="auto"/>
          <w:szCs w:val="20"/>
          <w:highlight w:val="none"/>
        </w:rPr>
      </w:pPr>
      <w:r>
        <w:rPr>
          <w:rFonts w:hint="eastAsia" w:ascii="宋体" w:hAnsi="宋体"/>
          <w:color w:val="auto"/>
          <w:szCs w:val="20"/>
          <w:highlight w:val="none"/>
        </w:rPr>
        <w:t>6</w:t>
      </w:r>
      <w:r>
        <w:rPr>
          <w:rFonts w:ascii="宋体" w:hAnsi="宋体"/>
          <w:color w:val="auto"/>
          <w:szCs w:val="20"/>
          <w:highlight w:val="none"/>
        </w:rPr>
        <w:t>.2</w:t>
      </w:r>
      <w:r>
        <w:rPr>
          <w:rFonts w:hint="eastAsia" w:ascii="宋体" w:hAnsi="宋体"/>
          <w:color w:val="auto"/>
          <w:szCs w:val="20"/>
          <w:highlight w:val="none"/>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7.</w:t>
      </w:r>
      <w:r>
        <w:rPr>
          <w:rFonts w:hint="eastAsia" w:ascii="宋体" w:hAnsi="宋体"/>
          <w:b/>
          <w:bCs/>
          <w:color w:val="auto"/>
          <w:highlight w:val="none"/>
        </w:rPr>
        <w:t>关于中小微企业响应</w:t>
      </w:r>
    </w:p>
    <w:p>
      <w:pPr>
        <w:pStyle w:val="2"/>
        <w:ind w:firstLine="420" w:firstLineChars="200"/>
        <w:rPr>
          <w:rFonts w:ascii="宋体" w:hAnsi="宋体"/>
          <w:color w:val="auto"/>
          <w:szCs w:val="20"/>
          <w:highlight w:val="none"/>
        </w:rPr>
      </w:pPr>
      <w:r>
        <w:rPr>
          <w:rFonts w:hint="eastAsia" w:ascii="宋体" w:hAnsi="宋体"/>
          <w:color w:val="auto"/>
          <w:szCs w:val="20"/>
          <w:highlight w:val="none"/>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。为方便广大中小企业识别企业规模类型，可通过中小企业规模类型自测小程序（http://202.106.120.146/baosong/appweb/orgScale.html）进行查询。</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微企业声明函》。</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8.</w:t>
      </w:r>
      <w:r>
        <w:rPr>
          <w:rFonts w:hint="eastAsia" w:ascii="宋体" w:hAnsi="宋体"/>
          <w:b/>
          <w:bCs/>
          <w:color w:val="auto"/>
          <w:highlight w:val="none"/>
        </w:rPr>
        <w:t>纪律与保密事项</w:t>
      </w:r>
    </w:p>
    <w:p>
      <w:pPr>
        <w:pStyle w:val="2"/>
        <w:ind w:firstLine="420" w:firstLineChars="200"/>
        <w:rPr>
          <w:rFonts w:ascii="宋体" w:hAnsi="宋体"/>
          <w:color w:val="auto"/>
          <w:szCs w:val="20"/>
          <w:highlight w:val="none"/>
        </w:rPr>
      </w:pPr>
      <w:r>
        <w:rPr>
          <w:rFonts w:hint="eastAsia" w:ascii="宋体" w:hAnsi="宋体"/>
          <w:color w:val="auto"/>
          <w:szCs w:val="20"/>
          <w:highlight w:val="none"/>
        </w:rPr>
        <w:t>8</w:t>
      </w:r>
      <w:r>
        <w:rPr>
          <w:rFonts w:ascii="宋体" w:hAnsi="宋体"/>
          <w:color w:val="auto"/>
          <w:szCs w:val="20"/>
          <w:highlight w:val="none"/>
        </w:rPr>
        <w:t>.1</w:t>
      </w:r>
      <w:r>
        <w:rPr>
          <w:rFonts w:hint="eastAsia" w:ascii="宋体" w:hAnsi="宋体"/>
          <w:color w:val="auto"/>
          <w:szCs w:val="20"/>
          <w:highlight w:val="none"/>
        </w:rPr>
        <w:t>供应商不得相互串通磋商报价，不得妨碍其他供应商的公平竞争，不得损害采购人或其他供应商的合法权益，供应商不得以向采购人、磋商小组成员行贿或者采取其他不正当手段谋取成交。</w:t>
      </w:r>
    </w:p>
    <w:p>
      <w:pPr>
        <w:pStyle w:val="2"/>
        <w:ind w:firstLine="420" w:firstLineChars="200"/>
        <w:rPr>
          <w:rFonts w:ascii="宋体" w:hAnsi="宋体"/>
          <w:color w:val="auto"/>
          <w:szCs w:val="20"/>
          <w:highlight w:val="none"/>
        </w:rPr>
      </w:pPr>
      <w:r>
        <w:rPr>
          <w:rFonts w:ascii="宋体" w:hAnsi="宋体"/>
          <w:color w:val="auto"/>
          <w:szCs w:val="20"/>
          <w:highlight w:val="none"/>
        </w:rPr>
        <w:t>8.2</w:t>
      </w:r>
      <w:r>
        <w:rPr>
          <w:rFonts w:hint="eastAsia" w:ascii="宋体" w:hAnsi="宋体"/>
          <w:color w:val="auto"/>
          <w:szCs w:val="20"/>
          <w:highlight w:val="none"/>
        </w:rPr>
        <w:t>供应商不得与采购人就响应价格、响应方案等实质性内容进行磋商，也不得私下接触磋商小组成员。</w:t>
      </w:r>
    </w:p>
    <w:p>
      <w:pPr>
        <w:pStyle w:val="2"/>
        <w:ind w:firstLine="420" w:firstLineChars="200"/>
        <w:rPr>
          <w:rFonts w:ascii="宋体" w:hAnsi="宋体"/>
          <w:color w:val="auto"/>
          <w:szCs w:val="20"/>
          <w:highlight w:val="none"/>
        </w:rPr>
      </w:pPr>
      <w:r>
        <w:rPr>
          <w:rFonts w:ascii="宋体" w:hAnsi="宋体"/>
          <w:color w:val="auto"/>
          <w:szCs w:val="20"/>
          <w:highlight w:val="none"/>
        </w:rPr>
        <w:t>8.3</w:t>
      </w:r>
      <w:r>
        <w:rPr>
          <w:rFonts w:hint="eastAsia" w:ascii="宋体" w:hAnsi="宋体"/>
          <w:color w:val="auto"/>
          <w:szCs w:val="20"/>
          <w:highlight w:val="none"/>
        </w:rPr>
        <w:t>在确定成交供应商之前，供应商试图在响应文件审查、澄清、比较和评价时对磋商小组、采购人和采购代理机构施加任何影响都可能导致其响应无效。</w:t>
      </w:r>
    </w:p>
    <w:p>
      <w:pPr>
        <w:pStyle w:val="2"/>
        <w:ind w:firstLine="420" w:firstLineChars="200"/>
        <w:rPr>
          <w:rFonts w:ascii="宋体" w:hAnsi="宋体"/>
          <w:color w:val="auto"/>
          <w:szCs w:val="20"/>
          <w:highlight w:val="none"/>
        </w:rPr>
      </w:pPr>
      <w:r>
        <w:rPr>
          <w:rFonts w:ascii="宋体" w:hAnsi="宋体"/>
          <w:color w:val="auto"/>
          <w:szCs w:val="20"/>
          <w:highlight w:val="none"/>
        </w:rPr>
        <w:t>8.4</w:t>
      </w:r>
      <w:r>
        <w:rPr>
          <w:rFonts w:hint="eastAsia" w:ascii="宋体" w:hAnsi="宋体"/>
          <w:color w:val="auto"/>
          <w:szCs w:val="20"/>
          <w:highlight w:val="none"/>
        </w:rPr>
        <w:t>获得本磋商文件者，须履行本磋商项目下保密义务，不得将因本次磋商获得的信息向第三人外传，不得将磋商文件用作本次响应以外的任何用途。</w:t>
      </w:r>
    </w:p>
    <w:p>
      <w:pPr>
        <w:pStyle w:val="2"/>
        <w:ind w:firstLine="420" w:firstLineChars="200"/>
        <w:rPr>
          <w:rFonts w:ascii="宋体" w:hAnsi="宋体"/>
          <w:color w:val="auto"/>
          <w:szCs w:val="20"/>
          <w:highlight w:val="none"/>
        </w:rPr>
      </w:pPr>
      <w:r>
        <w:rPr>
          <w:rFonts w:ascii="宋体" w:hAnsi="宋体"/>
          <w:color w:val="auto"/>
          <w:szCs w:val="20"/>
          <w:highlight w:val="none"/>
        </w:rPr>
        <w:t>8.5</w:t>
      </w:r>
      <w:r>
        <w:rPr>
          <w:rFonts w:hint="eastAsia" w:ascii="宋体" w:hAnsi="宋体"/>
          <w:color w:val="auto"/>
          <w:szCs w:val="20"/>
          <w:highlight w:val="none"/>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2"/>
        <w:ind w:firstLine="420" w:firstLineChars="200"/>
        <w:rPr>
          <w:rFonts w:ascii="宋体" w:hAnsi="宋体"/>
          <w:color w:val="auto"/>
          <w:szCs w:val="20"/>
          <w:highlight w:val="none"/>
        </w:rPr>
      </w:pPr>
      <w:r>
        <w:rPr>
          <w:rFonts w:hint="eastAsia" w:ascii="宋体" w:hAnsi="宋体"/>
          <w:color w:val="auto"/>
          <w:szCs w:val="20"/>
          <w:highlight w:val="none"/>
        </w:rPr>
        <w:t>8</w:t>
      </w:r>
      <w:r>
        <w:rPr>
          <w:rFonts w:ascii="宋体" w:hAnsi="宋体"/>
          <w:color w:val="auto"/>
          <w:szCs w:val="20"/>
          <w:highlight w:val="none"/>
        </w:rPr>
        <w:t>.6</w:t>
      </w:r>
      <w:r>
        <w:rPr>
          <w:rFonts w:hint="eastAsia" w:ascii="宋体" w:hAnsi="宋体"/>
          <w:color w:val="auto"/>
          <w:szCs w:val="20"/>
          <w:highlight w:val="none"/>
        </w:rPr>
        <w:t>采购人或采购代理机构有权将供应商提供的所有资料向有关政府部门或询价小组披露。</w:t>
      </w:r>
    </w:p>
    <w:p>
      <w:pPr>
        <w:pStyle w:val="2"/>
        <w:ind w:firstLine="420" w:firstLineChars="200"/>
        <w:rPr>
          <w:rFonts w:ascii="宋体" w:hAnsi="宋体"/>
          <w:color w:val="auto"/>
          <w:szCs w:val="20"/>
          <w:highlight w:val="none"/>
        </w:rPr>
      </w:pPr>
      <w:r>
        <w:rPr>
          <w:rFonts w:ascii="宋体" w:hAnsi="宋体"/>
          <w:color w:val="auto"/>
          <w:szCs w:val="20"/>
          <w:highlight w:val="none"/>
        </w:rPr>
        <w:t>8.7</w:t>
      </w:r>
      <w:r>
        <w:rPr>
          <w:rFonts w:hint="eastAsia" w:ascii="宋体" w:hAnsi="宋体"/>
          <w:color w:val="auto"/>
          <w:szCs w:val="20"/>
          <w:highlight w:val="none"/>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9.</w:t>
      </w:r>
      <w:r>
        <w:rPr>
          <w:rFonts w:hint="eastAsia" w:ascii="宋体" w:hAnsi="宋体"/>
          <w:b/>
          <w:bCs/>
          <w:color w:val="auto"/>
          <w:highlight w:val="none"/>
        </w:rPr>
        <w:t>语言文字以及度量衡单位</w:t>
      </w:r>
    </w:p>
    <w:p>
      <w:pPr>
        <w:pStyle w:val="2"/>
        <w:ind w:firstLine="420" w:firstLineChars="200"/>
        <w:rPr>
          <w:rFonts w:ascii="宋体" w:hAnsi="宋体"/>
          <w:color w:val="auto"/>
          <w:szCs w:val="20"/>
          <w:highlight w:val="none"/>
        </w:rPr>
      </w:pPr>
      <w:r>
        <w:rPr>
          <w:rFonts w:hint="eastAsia" w:ascii="宋体" w:hAnsi="宋体"/>
          <w:color w:val="auto"/>
          <w:szCs w:val="20"/>
          <w:highlight w:val="none"/>
        </w:rPr>
        <w:t>9</w:t>
      </w:r>
      <w:r>
        <w:rPr>
          <w:rFonts w:ascii="宋体" w:hAnsi="宋体"/>
          <w:color w:val="auto"/>
          <w:szCs w:val="20"/>
          <w:highlight w:val="none"/>
        </w:rPr>
        <w:t>.1</w:t>
      </w:r>
      <w:r>
        <w:rPr>
          <w:rFonts w:hint="eastAsia" w:ascii="宋体" w:hAnsi="宋体"/>
          <w:color w:val="auto"/>
          <w:szCs w:val="20"/>
          <w:highlight w:val="none"/>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
        <w:ind w:firstLine="420" w:firstLineChars="200"/>
        <w:rPr>
          <w:rFonts w:ascii="宋体" w:hAnsi="宋体"/>
          <w:color w:val="auto"/>
          <w:szCs w:val="20"/>
          <w:highlight w:val="none"/>
        </w:rPr>
      </w:pPr>
      <w:r>
        <w:rPr>
          <w:rFonts w:hint="eastAsia" w:ascii="宋体" w:hAnsi="宋体"/>
          <w:color w:val="auto"/>
          <w:szCs w:val="20"/>
          <w:highlight w:val="none"/>
        </w:rPr>
        <w:t>9</w:t>
      </w:r>
      <w:r>
        <w:rPr>
          <w:rFonts w:ascii="宋体" w:hAnsi="宋体"/>
          <w:color w:val="auto"/>
          <w:szCs w:val="20"/>
          <w:highlight w:val="none"/>
        </w:rPr>
        <w:t>.2</w:t>
      </w:r>
      <w:r>
        <w:rPr>
          <w:rFonts w:hint="eastAsia" w:ascii="宋体" w:hAnsi="宋体"/>
          <w:color w:val="auto"/>
          <w:szCs w:val="20"/>
          <w:highlight w:val="none"/>
        </w:rPr>
        <w:t>除非磋商文件的技术规格中另有规定，供应商在响应文件中及其与采购人和采购代理机构的所有往来文件中的计量单位均应采用中华人民共和国法定计量单位。</w:t>
      </w:r>
    </w:p>
    <w:p>
      <w:pPr>
        <w:pStyle w:val="2"/>
        <w:ind w:firstLine="420" w:firstLineChars="200"/>
        <w:rPr>
          <w:rFonts w:ascii="宋体" w:hAnsi="宋体"/>
          <w:color w:val="auto"/>
          <w:szCs w:val="20"/>
          <w:highlight w:val="none"/>
        </w:rPr>
      </w:pPr>
      <w:r>
        <w:rPr>
          <w:rFonts w:ascii="宋体" w:hAnsi="宋体"/>
          <w:color w:val="auto"/>
          <w:szCs w:val="20"/>
          <w:highlight w:val="none"/>
        </w:rPr>
        <w:t>9.3</w:t>
      </w:r>
      <w:r>
        <w:rPr>
          <w:rFonts w:hint="eastAsia" w:ascii="宋体" w:hAnsi="宋体"/>
          <w:color w:val="auto"/>
          <w:szCs w:val="20"/>
          <w:highlight w:val="none"/>
        </w:rPr>
        <w:t>供应商所提供的货物和服务均应以人民币报价，货币单位：元。</w:t>
      </w:r>
    </w:p>
    <w:p>
      <w:pPr>
        <w:pStyle w:val="126"/>
        <w:numPr>
          <w:ilvl w:val="1"/>
          <w:numId w:val="0"/>
        </w:numPr>
        <w:spacing w:beforeLines="50" w:afterLines="50"/>
        <w:ind w:left="420" w:leftChars="0" w:hanging="420" w:firstLineChars="0"/>
        <w:outlineLvl w:val="2"/>
        <w:rPr>
          <w:rFonts w:ascii="宋体" w:hAnsi="宋体"/>
          <w:b/>
          <w:bCs/>
          <w:color w:val="auto"/>
          <w:highlight w:val="none"/>
        </w:rPr>
      </w:pPr>
      <w:r>
        <w:rPr>
          <w:rFonts w:hint="eastAsia" w:ascii="宋体" w:hAnsi="宋体" w:eastAsia="宋体" w:cs="Times New Roman"/>
          <w:b/>
          <w:bCs/>
          <w:color w:val="auto"/>
          <w:kern w:val="1"/>
          <w:sz w:val="21"/>
          <w:szCs w:val="22"/>
          <w:lang w:val="en-US" w:eastAsia="ar-SA" w:bidi="ar-SA"/>
        </w:rPr>
        <w:t>10.</w:t>
      </w:r>
      <w:r>
        <w:rPr>
          <w:rFonts w:hint="eastAsia" w:ascii="宋体" w:hAnsi="宋体"/>
          <w:b/>
          <w:bCs/>
          <w:color w:val="auto"/>
          <w:highlight w:val="none"/>
        </w:rPr>
        <w:t>现场踏勘（如有）</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w:t>
      </w:r>
      <w:r>
        <w:rPr>
          <w:rFonts w:ascii="宋体" w:hAnsi="宋体"/>
          <w:color w:val="auto"/>
          <w:szCs w:val="20"/>
          <w:highlight w:val="none"/>
        </w:rPr>
        <w:t>0.1</w:t>
      </w:r>
      <w:r>
        <w:rPr>
          <w:rFonts w:hint="eastAsia" w:ascii="宋体" w:hAnsi="宋体"/>
          <w:color w:val="auto"/>
          <w:szCs w:val="20"/>
          <w:highlight w:val="none"/>
        </w:rPr>
        <w:t>磋商文件规定组织踏勘现场的，采购人按磋商文件规定的时间、地点组织供应商踏勘项目现场。</w:t>
      </w:r>
    </w:p>
    <w:p>
      <w:pPr>
        <w:pStyle w:val="2"/>
        <w:ind w:firstLine="420" w:firstLineChars="200"/>
        <w:rPr>
          <w:rFonts w:ascii="宋体" w:hAnsi="宋体"/>
          <w:color w:val="auto"/>
          <w:szCs w:val="20"/>
          <w:highlight w:val="none"/>
        </w:rPr>
      </w:pPr>
      <w:r>
        <w:rPr>
          <w:rFonts w:ascii="宋体" w:hAnsi="宋体"/>
          <w:color w:val="auto"/>
          <w:szCs w:val="20"/>
          <w:highlight w:val="none"/>
        </w:rPr>
        <w:t>10.2</w:t>
      </w:r>
      <w:r>
        <w:rPr>
          <w:rFonts w:hint="eastAsia" w:ascii="宋体" w:hAnsi="宋体"/>
          <w:color w:val="auto"/>
          <w:szCs w:val="20"/>
          <w:highlight w:val="none"/>
        </w:rPr>
        <w:t>供应商自行承担踏勘现场发生的责任、风险和自身费用。</w:t>
      </w:r>
    </w:p>
    <w:p>
      <w:pPr>
        <w:pStyle w:val="2"/>
        <w:ind w:firstLine="420" w:firstLineChars="200"/>
        <w:rPr>
          <w:rFonts w:ascii="宋体" w:hAnsi="宋体"/>
          <w:color w:val="auto"/>
          <w:szCs w:val="20"/>
          <w:highlight w:val="none"/>
        </w:rPr>
      </w:pPr>
      <w:r>
        <w:rPr>
          <w:rFonts w:ascii="宋体" w:hAnsi="宋体"/>
          <w:color w:val="auto"/>
          <w:szCs w:val="20"/>
          <w:highlight w:val="none"/>
        </w:rPr>
        <w:t>10.3</w:t>
      </w:r>
      <w:r>
        <w:rPr>
          <w:rFonts w:hint="eastAsia" w:ascii="宋体" w:hAnsi="宋体"/>
          <w:color w:val="auto"/>
          <w:szCs w:val="20"/>
          <w:highlight w:val="none"/>
        </w:rPr>
        <w:t>采购人在踏勘现场中介绍的资料和数据等，不构成对磋商文件的修改或不作为供应商编制响应文件的依据。</w:t>
      </w:r>
    </w:p>
    <w:p>
      <w:pPr>
        <w:pStyle w:val="4"/>
        <w:numPr>
          <w:ilvl w:val="0"/>
          <w:numId w:val="15"/>
        </w:numPr>
        <w:spacing w:before="120" w:after="120"/>
        <w:ind w:left="0" w:firstLine="0"/>
        <w:rPr>
          <w:rFonts w:ascii="宋体" w:hAnsi="宋体"/>
          <w:color w:val="auto"/>
          <w:sz w:val="21"/>
          <w:szCs w:val="21"/>
          <w:highlight w:val="none"/>
        </w:rPr>
      </w:pPr>
      <w:bookmarkStart w:id="36" w:name="_Toc104040691"/>
      <w:r>
        <w:rPr>
          <w:rFonts w:hint="eastAsia" w:ascii="宋体" w:hAnsi="宋体"/>
          <w:color w:val="auto"/>
          <w:sz w:val="21"/>
          <w:szCs w:val="21"/>
          <w:highlight w:val="none"/>
        </w:rPr>
        <w:t>磋商文件的澄清和修改</w:t>
      </w:r>
      <w:bookmarkEnd w:id="36"/>
    </w:p>
    <w:p>
      <w:pPr>
        <w:pStyle w:val="2"/>
        <w:ind w:firstLine="420" w:firstLineChars="200"/>
        <w:rPr>
          <w:rFonts w:ascii="宋体" w:hAnsi="宋体"/>
          <w:color w:val="auto"/>
          <w:szCs w:val="20"/>
          <w:highlight w:val="none"/>
        </w:rPr>
      </w:pPr>
      <w:r>
        <w:rPr>
          <w:rFonts w:hint="eastAsia" w:ascii="宋体" w:hAnsi="宋体"/>
          <w:color w:val="auto"/>
          <w:szCs w:val="20"/>
          <w:highlight w:val="none"/>
        </w:rPr>
        <w:t>1</w:t>
      </w:r>
      <w:r>
        <w:rPr>
          <w:rFonts w:ascii="宋体" w:hAnsi="宋体"/>
          <w:color w:val="auto"/>
          <w:szCs w:val="20"/>
          <w:highlight w:val="none"/>
        </w:rPr>
        <w:t>.</w:t>
      </w:r>
      <w:r>
        <w:rPr>
          <w:rFonts w:hint="eastAsia" w:ascii="宋体" w:hAnsi="宋体"/>
          <w:color w:val="auto"/>
          <w:szCs w:val="20"/>
          <w:highlight w:val="none"/>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w:t>
      </w:r>
      <w:r>
        <w:rPr>
          <w:rFonts w:hint="eastAsia" w:ascii="宋体" w:hAnsi="宋体"/>
          <w:color w:val="auto"/>
          <w:szCs w:val="20"/>
          <w:highlight w:val="none"/>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w:t>
      </w:r>
      <w:r>
        <w:rPr>
          <w:rFonts w:ascii="宋体" w:hAnsi="宋体"/>
          <w:color w:val="auto"/>
          <w:szCs w:val="20"/>
          <w:highlight w:val="none"/>
        </w:rPr>
        <w:t>.</w:t>
      </w:r>
      <w:r>
        <w:rPr>
          <w:rFonts w:hint="eastAsia" w:ascii="宋体" w:hAnsi="宋体"/>
          <w:color w:val="auto"/>
          <w:szCs w:val="20"/>
          <w:highlight w:val="none"/>
        </w:rPr>
        <w:t>如更正公告有重新发布磋商文件的，供应商应重新获取最新发布的磋商文件制作响应文件。</w:t>
      </w:r>
    </w:p>
    <w:p>
      <w:pPr>
        <w:pStyle w:val="2"/>
        <w:ind w:firstLine="420" w:firstLineChars="200"/>
        <w:rPr>
          <w:rFonts w:ascii="宋体" w:hAnsi="宋体"/>
          <w:color w:val="auto"/>
          <w:szCs w:val="20"/>
          <w:highlight w:val="none"/>
        </w:rPr>
      </w:pPr>
      <w:r>
        <w:rPr>
          <w:rFonts w:hint="eastAsia" w:ascii="宋体" w:hAnsi="宋体"/>
          <w:color w:val="auto"/>
          <w:szCs w:val="20"/>
          <w:highlight w:val="none"/>
        </w:rPr>
        <w:t>4</w:t>
      </w:r>
      <w:r>
        <w:rPr>
          <w:rFonts w:ascii="宋体" w:hAnsi="宋体"/>
          <w:color w:val="auto"/>
          <w:szCs w:val="20"/>
          <w:highlight w:val="none"/>
        </w:rPr>
        <w:t>.</w:t>
      </w:r>
      <w:r>
        <w:rPr>
          <w:rFonts w:hint="eastAsia" w:ascii="宋体" w:hAnsi="宋体"/>
          <w:color w:val="auto"/>
          <w:szCs w:val="20"/>
          <w:highlight w:val="none"/>
        </w:rPr>
        <w:t>供应商在规定的时间内未对磋商文件提出疑问、质疑或要求澄清的，将视其为无异议。对磋商文件中描述有歧义或前后不一致的地方，磋商小组有权进行评判，但对同一条款的评判应适用于每个供应商。</w:t>
      </w:r>
    </w:p>
    <w:p>
      <w:pPr>
        <w:pStyle w:val="4"/>
        <w:numPr>
          <w:ilvl w:val="0"/>
          <w:numId w:val="15"/>
        </w:numPr>
        <w:spacing w:before="120" w:after="120"/>
        <w:ind w:left="0" w:firstLine="0"/>
        <w:rPr>
          <w:rFonts w:ascii="宋体" w:hAnsi="宋体"/>
          <w:color w:val="auto"/>
          <w:sz w:val="21"/>
          <w:szCs w:val="21"/>
          <w:highlight w:val="none"/>
        </w:rPr>
      </w:pPr>
      <w:bookmarkStart w:id="37" w:name="_Toc104040692"/>
      <w:r>
        <w:rPr>
          <w:rFonts w:hint="eastAsia" w:ascii="宋体" w:hAnsi="宋体"/>
          <w:color w:val="auto"/>
          <w:sz w:val="21"/>
          <w:szCs w:val="21"/>
          <w:highlight w:val="none"/>
        </w:rPr>
        <w:t>响应要求</w:t>
      </w:r>
      <w:bookmarkEnd w:id="37"/>
    </w:p>
    <w:p>
      <w:pPr>
        <w:pStyle w:val="126"/>
        <w:numPr>
          <w:ilvl w:val="0"/>
          <w:numId w:val="17"/>
        </w:numPr>
        <w:spacing w:beforeLines="50" w:afterLines="50"/>
        <w:outlineLvl w:val="2"/>
        <w:rPr>
          <w:rFonts w:ascii="宋体" w:hAnsi="宋体"/>
          <w:b/>
          <w:bCs/>
          <w:color w:val="auto"/>
          <w:highlight w:val="none"/>
        </w:rPr>
      </w:pPr>
      <w:r>
        <w:rPr>
          <w:rFonts w:hint="eastAsia" w:ascii="宋体" w:hAnsi="宋体"/>
          <w:b/>
          <w:bCs/>
          <w:color w:val="auto"/>
          <w:highlight w:val="none"/>
        </w:rPr>
        <w:t>响应文件的制作</w:t>
      </w:r>
    </w:p>
    <w:p>
      <w:pPr>
        <w:pStyle w:val="2"/>
        <w:ind w:firstLine="420" w:firstLineChars="200"/>
        <w:rPr>
          <w:rFonts w:ascii="宋体" w:hAnsi="宋体"/>
          <w:color w:val="auto"/>
          <w:szCs w:val="20"/>
          <w:highlight w:val="none"/>
        </w:rPr>
      </w:pPr>
      <w:r>
        <w:rPr>
          <w:rFonts w:ascii="宋体" w:hAnsi="宋体"/>
          <w:color w:val="auto"/>
          <w:szCs w:val="20"/>
          <w:highlight w:val="none"/>
        </w:rPr>
        <w:t>1.1</w:t>
      </w:r>
      <w:r>
        <w:rPr>
          <w:rFonts w:hint="eastAsia" w:ascii="宋体" w:hAnsi="宋体"/>
          <w:color w:val="auto"/>
          <w:szCs w:val="20"/>
          <w:highlight w:val="none"/>
        </w:rPr>
        <w:t>响应文件格式要求详见第六章说明。</w:t>
      </w:r>
    </w:p>
    <w:p>
      <w:pPr>
        <w:pStyle w:val="2"/>
        <w:ind w:firstLine="420" w:firstLineChars="200"/>
        <w:rPr>
          <w:rFonts w:ascii="宋体" w:hAnsi="宋体"/>
          <w:color w:val="auto"/>
          <w:szCs w:val="20"/>
          <w:highlight w:val="none"/>
        </w:rPr>
      </w:pPr>
      <w:r>
        <w:rPr>
          <w:rFonts w:ascii="宋体" w:hAnsi="宋体"/>
          <w:color w:val="auto"/>
          <w:szCs w:val="20"/>
          <w:highlight w:val="none"/>
        </w:rPr>
        <w:t>1.2</w:t>
      </w:r>
      <w:r>
        <w:rPr>
          <w:rFonts w:hint="eastAsia" w:ascii="宋体" w:hAnsi="宋体"/>
          <w:color w:val="auto"/>
          <w:szCs w:val="20"/>
          <w:highlight w:val="none"/>
        </w:rPr>
        <w:t>关于磋商报价说明如下：</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（2）磋商报价包括本项目采购需求和投入使用的所有费用，包括但不限于主件、标准附件、备品备件、施工、服务、专用工具、安装、调试、检验、培训、运输、保险、税款等。</w:t>
      </w:r>
    </w:p>
    <w:p>
      <w:pPr>
        <w:pStyle w:val="2"/>
        <w:ind w:left="420"/>
        <w:rPr>
          <w:rFonts w:ascii="宋体" w:hAnsi="宋体"/>
          <w:color w:val="auto"/>
          <w:szCs w:val="20"/>
          <w:highlight w:val="none"/>
        </w:rPr>
      </w:pPr>
      <w:r>
        <w:rPr>
          <w:rFonts w:hint="eastAsia" w:ascii="宋体" w:hAnsi="宋体"/>
          <w:color w:val="auto"/>
          <w:szCs w:val="20"/>
          <w:highlight w:val="none"/>
        </w:rPr>
        <w:t>（3）磋商报价不得有选择性报价和附有条件的报价，否则将导致响应无效。</w:t>
      </w:r>
    </w:p>
    <w:p>
      <w:pPr>
        <w:pStyle w:val="2"/>
        <w:ind w:firstLine="420" w:firstLineChars="200"/>
        <w:rPr>
          <w:rFonts w:ascii="宋体" w:hAnsi="宋体"/>
          <w:color w:val="auto"/>
          <w:szCs w:val="20"/>
          <w:highlight w:val="none"/>
        </w:rPr>
      </w:pPr>
      <w:r>
        <w:rPr>
          <w:rFonts w:ascii="宋体" w:hAnsi="宋体"/>
          <w:color w:val="auto"/>
          <w:szCs w:val="20"/>
          <w:highlight w:val="none"/>
        </w:rPr>
        <w:t>1.3</w:t>
      </w:r>
      <w:r>
        <w:rPr>
          <w:rFonts w:hint="eastAsia" w:ascii="宋体" w:hAnsi="宋体"/>
          <w:color w:val="auto"/>
          <w:szCs w:val="20"/>
          <w:highlight w:val="none"/>
        </w:rPr>
        <w:t>如有对多个采购包响应的，要对每个采购包独立制作响应文件，或者分别制作通用册和专用册的响应文件，且需在响应文件中明示对应采购包情况。</w:t>
      </w:r>
    </w:p>
    <w:p>
      <w:pPr>
        <w:pStyle w:val="2"/>
        <w:ind w:firstLine="420" w:firstLineChars="200"/>
        <w:rPr>
          <w:rFonts w:ascii="宋体" w:hAnsi="宋体"/>
          <w:color w:val="auto"/>
          <w:szCs w:val="20"/>
          <w:highlight w:val="none"/>
        </w:rPr>
      </w:pPr>
      <w:r>
        <w:rPr>
          <w:rFonts w:ascii="宋体" w:hAnsi="宋体"/>
          <w:color w:val="auto"/>
          <w:szCs w:val="20"/>
          <w:highlight w:val="none"/>
        </w:rPr>
        <w:t>1.4</w:t>
      </w:r>
      <w:r>
        <w:rPr>
          <w:rFonts w:hint="eastAsia" w:ascii="宋体" w:hAnsi="宋体"/>
          <w:color w:val="auto"/>
          <w:szCs w:val="20"/>
          <w:highlight w:val="none"/>
        </w:rPr>
        <w:t>供应商不得将同一个项目或同一个采购包的内容拆开响应，否则其报价将被视为非实质性响应。</w:t>
      </w:r>
    </w:p>
    <w:p>
      <w:pPr>
        <w:pStyle w:val="2"/>
        <w:ind w:firstLine="420" w:firstLineChars="200"/>
        <w:rPr>
          <w:rFonts w:ascii="宋体" w:hAnsi="宋体"/>
          <w:color w:val="auto"/>
          <w:szCs w:val="20"/>
          <w:highlight w:val="none"/>
        </w:rPr>
      </w:pPr>
      <w:r>
        <w:rPr>
          <w:rFonts w:ascii="宋体" w:hAnsi="宋体"/>
          <w:color w:val="auto"/>
          <w:szCs w:val="20"/>
          <w:highlight w:val="none"/>
        </w:rPr>
        <w:t>1.5</w:t>
      </w:r>
      <w:r>
        <w:rPr>
          <w:rFonts w:hint="eastAsia" w:ascii="宋体" w:hAnsi="宋体"/>
          <w:color w:val="auto"/>
          <w:szCs w:val="20"/>
          <w:highlight w:val="none"/>
        </w:rPr>
        <w:t>供应商须对磋商文件的对应要求给予唯一的实质性响应，否则将视为不响应。</w:t>
      </w:r>
    </w:p>
    <w:p>
      <w:pPr>
        <w:pStyle w:val="2"/>
        <w:ind w:firstLine="420" w:firstLineChars="200"/>
        <w:rPr>
          <w:rFonts w:ascii="宋体" w:hAnsi="宋体"/>
          <w:color w:val="auto"/>
          <w:szCs w:val="20"/>
          <w:highlight w:val="none"/>
        </w:rPr>
      </w:pPr>
      <w:r>
        <w:rPr>
          <w:rFonts w:ascii="宋体" w:hAnsi="宋体"/>
          <w:color w:val="auto"/>
          <w:szCs w:val="20"/>
          <w:highlight w:val="none"/>
        </w:rPr>
        <w:t>1.6</w:t>
      </w:r>
      <w:r>
        <w:rPr>
          <w:rFonts w:hint="eastAsia" w:ascii="宋体" w:hAnsi="宋体"/>
          <w:color w:val="auto"/>
          <w:szCs w:val="20"/>
          <w:highlight w:val="none"/>
        </w:rPr>
        <w:t>磋商文件中，凡标有“★”的地方均为实质性响应条款，供应商若有一项带“★”的条款未响应或不满足，将按无效响应处理。</w:t>
      </w:r>
    </w:p>
    <w:p>
      <w:pPr>
        <w:pStyle w:val="2"/>
        <w:ind w:firstLine="420" w:firstLineChars="200"/>
        <w:rPr>
          <w:rFonts w:ascii="宋体" w:hAnsi="宋体"/>
          <w:color w:val="auto"/>
          <w:szCs w:val="20"/>
          <w:highlight w:val="none"/>
        </w:rPr>
      </w:pPr>
      <w:r>
        <w:rPr>
          <w:rFonts w:ascii="宋体" w:hAnsi="宋体"/>
          <w:color w:val="auto"/>
          <w:szCs w:val="20"/>
          <w:highlight w:val="none"/>
        </w:rPr>
        <w:t>1.7</w:t>
      </w:r>
      <w:r>
        <w:rPr>
          <w:rFonts w:hint="eastAsia" w:ascii="宋体" w:hAnsi="宋体"/>
          <w:color w:val="auto"/>
          <w:szCs w:val="20"/>
          <w:highlight w:val="none"/>
        </w:rPr>
        <w:t>供应商必须按磋商文件指定的格式填写各种报价，各报价应计算正确。除在磋商文件另有规定外（如：报折扣、报优惠率等），计量单位应使用中华人民共和国法定计量单位，以人民币填报所有报价。</w:t>
      </w:r>
    </w:p>
    <w:p>
      <w:pPr>
        <w:pStyle w:val="2"/>
        <w:ind w:firstLine="420" w:firstLineChars="200"/>
        <w:rPr>
          <w:rFonts w:ascii="宋体" w:hAnsi="宋体"/>
          <w:color w:val="auto"/>
          <w:szCs w:val="20"/>
          <w:highlight w:val="none"/>
        </w:rPr>
      </w:pPr>
      <w:r>
        <w:rPr>
          <w:rFonts w:ascii="宋体" w:hAnsi="宋体"/>
          <w:color w:val="auto"/>
          <w:szCs w:val="20"/>
          <w:highlight w:val="none"/>
        </w:rPr>
        <w:t>1.8</w:t>
      </w:r>
      <w:r>
        <w:rPr>
          <w:rFonts w:hint="eastAsia" w:ascii="宋体" w:hAnsi="宋体"/>
          <w:color w:val="auto"/>
          <w:szCs w:val="20"/>
          <w:highlight w:val="none"/>
        </w:rPr>
        <w:t>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2"/>
        <w:ind w:firstLine="420" w:firstLineChars="200"/>
        <w:rPr>
          <w:rFonts w:ascii="宋体" w:hAnsi="宋体"/>
          <w:color w:val="auto"/>
          <w:szCs w:val="20"/>
          <w:highlight w:val="none"/>
        </w:rPr>
      </w:pPr>
      <w:r>
        <w:rPr>
          <w:rFonts w:ascii="宋体" w:hAnsi="宋体"/>
          <w:color w:val="auto"/>
          <w:szCs w:val="20"/>
          <w:highlight w:val="none"/>
        </w:rPr>
        <w:t>1.9</w:t>
      </w:r>
      <w:r>
        <w:rPr>
          <w:rFonts w:hint="eastAsia" w:ascii="宋体" w:hAnsi="宋体"/>
          <w:color w:val="auto"/>
          <w:szCs w:val="20"/>
          <w:highlight w:val="none"/>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pPr>
        <w:pStyle w:val="126"/>
        <w:numPr>
          <w:ilvl w:val="0"/>
          <w:numId w:val="17"/>
        </w:numPr>
        <w:spacing w:beforeLines="50" w:afterLines="50"/>
        <w:outlineLvl w:val="2"/>
        <w:rPr>
          <w:rFonts w:ascii="宋体" w:hAnsi="宋体"/>
          <w:b/>
          <w:bCs/>
          <w:color w:val="auto"/>
          <w:highlight w:val="none"/>
        </w:rPr>
      </w:pPr>
      <w:r>
        <w:rPr>
          <w:rFonts w:hint="eastAsia" w:ascii="宋体" w:hAnsi="宋体"/>
          <w:b/>
          <w:bCs/>
          <w:color w:val="auto"/>
          <w:highlight w:val="none"/>
        </w:rPr>
        <w:t>响应文件的提交</w:t>
      </w:r>
    </w:p>
    <w:p>
      <w:pPr>
        <w:pStyle w:val="2"/>
        <w:ind w:firstLine="420" w:firstLineChars="200"/>
        <w:rPr>
          <w:rFonts w:ascii="宋体" w:hAnsi="宋体"/>
          <w:color w:val="auto"/>
          <w:szCs w:val="20"/>
          <w:highlight w:val="none"/>
        </w:rPr>
      </w:pPr>
      <w:r>
        <w:rPr>
          <w:rFonts w:ascii="宋体" w:hAnsi="宋体"/>
          <w:color w:val="auto"/>
          <w:szCs w:val="20"/>
          <w:highlight w:val="none"/>
        </w:rPr>
        <w:t>2.1</w:t>
      </w:r>
      <w:r>
        <w:rPr>
          <w:rFonts w:hint="eastAsia" w:ascii="宋体" w:hAnsi="宋体"/>
          <w:color w:val="auto"/>
          <w:szCs w:val="20"/>
          <w:highlight w:val="none"/>
        </w:rPr>
        <w:t>在响应文件提交截止时间前，供应商须将响应文件提交至采购公告所示的提交响应文件地址。时间以北京时间为准，递交响应文件截止时间结束后，将不再接收响应文件。</w:t>
      </w:r>
    </w:p>
    <w:p>
      <w:pPr>
        <w:pStyle w:val="2"/>
        <w:ind w:firstLine="420" w:firstLineChars="200"/>
        <w:rPr>
          <w:rFonts w:ascii="宋体" w:hAnsi="宋体"/>
          <w:color w:val="auto"/>
          <w:szCs w:val="20"/>
          <w:highlight w:val="none"/>
        </w:rPr>
      </w:pPr>
      <w:r>
        <w:rPr>
          <w:rFonts w:ascii="宋体" w:hAnsi="宋体"/>
          <w:color w:val="auto"/>
          <w:szCs w:val="20"/>
          <w:highlight w:val="none"/>
        </w:rPr>
        <w:t>2.2</w:t>
      </w:r>
      <w:r>
        <w:rPr>
          <w:rFonts w:hint="eastAsia" w:ascii="宋体" w:hAnsi="宋体"/>
          <w:color w:val="auto"/>
          <w:szCs w:val="20"/>
          <w:highlight w:val="none"/>
        </w:rPr>
        <w:t>代理机构对因不可抗力事件造成的响应文件的损坏、丢失的，不承担责任。</w:t>
      </w:r>
    </w:p>
    <w:p>
      <w:pPr>
        <w:pStyle w:val="126"/>
        <w:numPr>
          <w:ilvl w:val="0"/>
          <w:numId w:val="17"/>
        </w:numPr>
        <w:spacing w:beforeLines="50" w:afterLines="50"/>
        <w:outlineLvl w:val="2"/>
        <w:rPr>
          <w:rFonts w:ascii="宋体" w:hAnsi="宋体"/>
          <w:b/>
          <w:bCs/>
          <w:color w:val="auto"/>
          <w:highlight w:val="none"/>
        </w:rPr>
      </w:pPr>
      <w:r>
        <w:rPr>
          <w:rFonts w:hint="eastAsia" w:ascii="宋体" w:hAnsi="宋体"/>
          <w:b/>
          <w:bCs/>
          <w:color w:val="auto"/>
          <w:highlight w:val="none"/>
        </w:rPr>
        <w:t>响应文件的修改、撤回与撤销</w:t>
      </w:r>
    </w:p>
    <w:p>
      <w:pPr>
        <w:pStyle w:val="2"/>
        <w:ind w:firstLine="420" w:firstLineChars="200"/>
        <w:rPr>
          <w:rFonts w:ascii="宋体" w:hAnsi="宋体"/>
          <w:color w:val="auto"/>
          <w:szCs w:val="20"/>
          <w:highlight w:val="none"/>
        </w:rPr>
      </w:pPr>
      <w:r>
        <w:rPr>
          <w:rFonts w:ascii="宋体" w:hAnsi="宋体"/>
          <w:color w:val="auto"/>
          <w:szCs w:val="20"/>
          <w:highlight w:val="none"/>
        </w:rPr>
        <w:t>3</w:t>
      </w:r>
      <w:r>
        <w:rPr>
          <w:rFonts w:hint="eastAsia" w:ascii="宋体" w:hAnsi="宋体"/>
          <w:color w:val="auto"/>
          <w:szCs w:val="20"/>
          <w:highlight w:val="none"/>
        </w:rPr>
        <w:t>.1在提交响应文件截止时间前，供应商可以修改或撤回响应文件，并于提交响应文件截止时间前将修改后的响应文件送达至采购公告所示的提交响应文件地址，到达响应文件提交截止时间后，将不允许修改或撤回。</w:t>
      </w:r>
    </w:p>
    <w:p>
      <w:pPr>
        <w:pStyle w:val="2"/>
        <w:ind w:firstLine="420" w:firstLineChars="200"/>
        <w:rPr>
          <w:rFonts w:ascii="宋体" w:hAnsi="宋体"/>
          <w:color w:val="auto"/>
          <w:szCs w:val="20"/>
          <w:highlight w:val="none"/>
        </w:rPr>
      </w:pPr>
      <w:r>
        <w:rPr>
          <w:rFonts w:ascii="宋体" w:hAnsi="宋体"/>
          <w:color w:val="auto"/>
          <w:szCs w:val="20"/>
          <w:highlight w:val="none"/>
        </w:rPr>
        <w:t>3</w:t>
      </w:r>
      <w:r>
        <w:rPr>
          <w:rFonts w:hint="eastAsia" w:ascii="宋体" w:hAnsi="宋体"/>
          <w:color w:val="auto"/>
          <w:szCs w:val="20"/>
          <w:highlight w:val="none"/>
        </w:rPr>
        <w:t>.2在提交响应文件截止时间后，供应商不得补充、修改和更换响应文件。</w:t>
      </w:r>
    </w:p>
    <w:p>
      <w:pPr>
        <w:pStyle w:val="126"/>
        <w:numPr>
          <w:ilvl w:val="0"/>
          <w:numId w:val="17"/>
        </w:numPr>
        <w:spacing w:beforeLines="50" w:afterLines="50"/>
        <w:outlineLvl w:val="2"/>
        <w:rPr>
          <w:rFonts w:ascii="宋体" w:hAnsi="宋体"/>
          <w:b/>
          <w:bCs/>
          <w:color w:val="auto"/>
          <w:highlight w:val="none"/>
        </w:rPr>
      </w:pPr>
      <w:r>
        <w:rPr>
          <w:rFonts w:hint="eastAsia" w:ascii="宋体" w:hAnsi="宋体"/>
          <w:b/>
          <w:bCs/>
          <w:color w:val="auto"/>
          <w:highlight w:val="none"/>
        </w:rPr>
        <w:t>响应保证金</w:t>
      </w:r>
    </w:p>
    <w:p>
      <w:pPr>
        <w:pStyle w:val="2"/>
        <w:ind w:firstLine="420" w:firstLineChars="200"/>
        <w:rPr>
          <w:rFonts w:ascii="宋体" w:hAnsi="宋体"/>
          <w:color w:val="auto"/>
          <w:szCs w:val="20"/>
          <w:highlight w:val="none"/>
        </w:rPr>
      </w:pPr>
      <w:r>
        <w:rPr>
          <w:rFonts w:ascii="宋体" w:hAnsi="宋体"/>
          <w:color w:val="auto"/>
          <w:szCs w:val="20"/>
          <w:highlight w:val="none"/>
        </w:rPr>
        <w:t>4.1</w:t>
      </w:r>
      <w:r>
        <w:rPr>
          <w:rFonts w:hint="eastAsia" w:ascii="宋体" w:hAnsi="宋体"/>
          <w:color w:val="auto"/>
          <w:szCs w:val="20"/>
          <w:highlight w:val="none"/>
        </w:rPr>
        <w:t>响应保证金的缴纳</w:t>
      </w:r>
    </w:p>
    <w:p>
      <w:pPr>
        <w:pStyle w:val="2"/>
        <w:ind w:firstLine="420" w:firstLineChars="200"/>
        <w:rPr>
          <w:rFonts w:ascii="宋体" w:hAnsi="宋体"/>
          <w:color w:val="auto"/>
          <w:szCs w:val="20"/>
          <w:highlight w:val="none"/>
        </w:rPr>
      </w:pPr>
      <w:r>
        <w:rPr>
          <w:rFonts w:hint="eastAsia" w:ascii="宋体" w:hAnsi="宋体"/>
          <w:color w:val="auto"/>
          <w:szCs w:val="20"/>
          <w:highlight w:val="none"/>
        </w:rPr>
        <w:t>供应商在提交响应文件的同时，应按供应商须知前附表规定的金额和缴纳要求缴纳响应保证金，并作为其响应文件的组成部分。</w:t>
      </w:r>
    </w:p>
    <w:p>
      <w:pPr>
        <w:pStyle w:val="2"/>
        <w:ind w:firstLine="420" w:firstLineChars="200"/>
        <w:rPr>
          <w:rFonts w:ascii="宋体" w:hAnsi="宋体"/>
          <w:color w:val="auto"/>
          <w:szCs w:val="20"/>
          <w:highlight w:val="none"/>
        </w:rPr>
      </w:pPr>
      <w:r>
        <w:rPr>
          <w:rFonts w:hint="eastAsia" w:ascii="宋体" w:hAnsi="宋体"/>
          <w:color w:val="auto"/>
          <w:szCs w:val="20"/>
          <w:highlight w:val="none"/>
        </w:rPr>
        <w:t>如采用转账、支票、本票、汇票形式提交的，响应保证金从供应商基本账户递交，由广东达禾工程管理有限公司代收。具体操作要求详见广东达禾工程管理有限公司有关指引，递交事宜请自行咨询广东达禾工程管理有限公司；请各供应商在响应文件递交截止时间前按须知前附表规定的金额递交至广东达禾工程管理有限公司，到账情况以开启时广东达禾工程管理有限公司查询的信息为准。</w:t>
      </w:r>
    </w:p>
    <w:p>
      <w:pPr>
        <w:pStyle w:val="2"/>
        <w:ind w:firstLine="420" w:firstLineChars="200"/>
        <w:rPr>
          <w:rFonts w:ascii="宋体" w:hAnsi="宋体"/>
          <w:color w:val="auto"/>
          <w:szCs w:val="20"/>
          <w:highlight w:val="none"/>
        </w:rPr>
      </w:pPr>
      <w:r>
        <w:rPr>
          <w:rFonts w:hint="eastAsia" w:ascii="宋体" w:hAnsi="宋体"/>
          <w:color w:val="auto"/>
          <w:szCs w:val="20"/>
          <w:highlight w:val="none"/>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注意事项：供应商通过线下方式缴纳保证金（转账、支票、汇票、本票、纸质保函）的，需准备缴纳凭证的扫描件作为核验凭证。</w:t>
      </w:r>
    </w:p>
    <w:p>
      <w:pPr>
        <w:pStyle w:val="2"/>
        <w:ind w:firstLine="420" w:firstLineChars="200"/>
        <w:rPr>
          <w:rFonts w:ascii="宋体" w:hAnsi="宋体"/>
          <w:color w:val="auto"/>
          <w:szCs w:val="20"/>
          <w:highlight w:val="none"/>
        </w:rPr>
      </w:pPr>
      <w:r>
        <w:rPr>
          <w:rFonts w:ascii="宋体" w:hAnsi="宋体"/>
          <w:color w:val="auto"/>
          <w:szCs w:val="20"/>
          <w:highlight w:val="none"/>
        </w:rPr>
        <w:t>4.2</w:t>
      </w:r>
      <w:r>
        <w:rPr>
          <w:rFonts w:hint="eastAsia" w:ascii="宋体" w:hAnsi="宋体"/>
          <w:color w:val="auto"/>
          <w:szCs w:val="20"/>
          <w:highlight w:val="none"/>
        </w:rPr>
        <w:t>响应保证金的退还：</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（1）供应商在递交响应文件截止时间前放弃响应的，自所投采购包结果公告发出后5个工作日内退还。</w:t>
      </w:r>
    </w:p>
    <w:p>
      <w:pPr>
        <w:pStyle w:val="2"/>
        <w:ind w:firstLine="420" w:firstLineChars="200"/>
        <w:jc w:val="left"/>
        <w:rPr>
          <w:rFonts w:ascii="宋体" w:hAnsi="宋体"/>
          <w:color w:val="auto"/>
          <w:szCs w:val="20"/>
          <w:highlight w:val="none"/>
        </w:rPr>
      </w:pPr>
      <w:r>
        <w:rPr>
          <w:rFonts w:hint="eastAsia" w:ascii="宋体" w:hAnsi="宋体"/>
          <w:color w:val="auto"/>
          <w:szCs w:val="20"/>
          <w:highlight w:val="none"/>
        </w:rPr>
        <w:t>（2）未成交的供应商保证金，在成交供应商发出后5个工作日内原额退还。</w:t>
      </w:r>
    </w:p>
    <w:p>
      <w:pPr>
        <w:pStyle w:val="2"/>
        <w:ind w:firstLine="420" w:firstLineChars="200"/>
        <w:jc w:val="left"/>
        <w:rPr>
          <w:rFonts w:ascii="宋体" w:hAnsi="宋体"/>
          <w:color w:val="auto"/>
          <w:szCs w:val="20"/>
          <w:highlight w:val="none"/>
        </w:rPr>
      </w:pPr>
      <w:r>
        <w:rPr>
          <w:rFonts w:hint="eastAsia" w:ascii="宋体" w:hAnsi="宋体"/>
          <w:color w:val="auto"/>
          <w:szCs w:val="20"/>
          <w:highlight w:val="none"/>
        </w:rPr>
        <w:t>（3）成交供应商的响应保证金,在成交供应商与采购人签订采购合同后5个工作日内原额退还。</w:t>
      </w:r>
    </w:p>
    <w:p>
      <w:pPr>
        <w:pStyle w:val="2"/>
        <w:ind w:firstLine="420" w:firstLineChars="200"/>
        <w:rPr>
          <w:rFonts w:ascii="宋体" w:hAnsi="宋体"/>
          <w:color w:val="auto"/>
          <w:szCs w:val="20"/>
          <w:highlight w:val="none"/>
        </w:rPr>
      </w:pPr>
      <w:r>
        <w:rPr>
          <w:rFonts w:hint="eastAsia" w:ascii="宋体" w:hAnsi="宋体"/>
          <w:color w:val="auto"/>
          <w:szCs w:val="20"/>
          <w:highlight w:val="none"/>
        </w:rPr>
        <w:t>备注：但因供应商自身原因导致无法及时退还的除外。</w:t>
      </w:r>
    </w:p>
    <w:p>
      <w:pPr>
        <w:pStyle w:val="2"/>
        <w:ind w:firstLine="420" w:firstLineChars="200"/>
        <w:rPr>
          <w:rFonts w:ascii="宋体" w:hAnsi="宋体"/>
          <w:color w:val="auto"/>
          <w:szCs w:val="20"/>
          <w:highlight w:val="none"/>
        </w:rPr>
      </w:pPr>
      <w:r>
        <w:rPr>
          <w:rFonts w:ascii="宋体" w:hAnsi="宋体"/>
          <w:color w:val="auto"/>
          <w:szCs w:val="20"/>
          <w:highlight w:val="none"/>
        </w:rPr>
        <w:t>4.3</w:t>
      </w:r>
      <w:r>
        <w:rPr>
          <w:rFonts w:hint="eastAsia" w:ascii="宋体" w:hAnsi="宋体"/>
          <w:color w:val="auto"/>
          <w:szCs w:val="20"/>
          <w:highlight w:val="none"/>
        </w:rPr>
        <w:t>有下列情形之一的，响应保证金将不予退还</w:t>
      </w:r>
      <w:bookmarkStart w:id="38" w:name="_Hlk104121839"/>
      <w:r>
        <w:rPr>
          <w:rFonts w:hint="eastAsia" w:ascii="宋体" w:hAnsi="宋体"/>
          <w:color w:val="auto"/>
          <w:szCs w:val="20"/>
          <w:highlight w:val="none"/>
        </w:rPr>
        <w:t>并上缴国库</w:t>
      </w:r>
      <w:bookmarkEnd w:id="38"/>
      <w:r>
        <w:rPr>
          <w:rFonts w:hint="eastAsia" w:ascii="宋体" w:hAnsi="宋体"/>
          <w:color w:val="auto"/>
          <w:szCs w:val="20"/>
          <w:highlight w:val="none"/>
        </w:rPr>
        <w:t>：</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（1）提供虚假材料谋取成交的；</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（2）供应商在磋商文件规定的响应有效期内撤销其响应；</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（3）成交后，无正当理由放弃成交资格；</w:t>
      </w:r>
    </w:p>
    <w:p>
      <w:pPr>
        <w:pStyle w:val="2"/>
        <w:ind w:firstLine="420" w:firstLineChars="200"/>
        <w:rPr>
          <w:rFonts w:ascii="宋体" w:hAnsi="宋体"/>
          <w:color w:val="auto"/>
          <w:szCs w:val="20"/>
          <w:highlight w:val="none"/>
        </w:rPr>
      </w:pPr>
      <w:r>
        <w:rPr>
          <w:rFonts w:hint="eastAsia" w:ascii="宋体" w:hAnsi="宋体"/>
          <w:color w:val="auto"/>
          <w:szCs w:val="20"/>
          <w:highlight w:val="none"/>
        </w:rPr>
        <w:t>（4）成交后，无正当理由不与采购人签订合同；</w:t>
      </w:r>
    </w:p>
    <w:p>
      <w:pPr>
        <w:pStyle w:val="2"/>
        <w:ind w:firstLine="420" w:firstLineChars="200"/>
        <w:rPr>
          <w:rFonts w:ascii="宋体" w:hAnsi="宋体"/>
          <w:color w:val="auto"/>
          <w:szCs w:val="20"/>
          <w:highlight w:val="none"/>
        </w:rPr>
      </w:pPr>
      <w:r>
        <w:rPr>
          <w:rFonts w:hint="eastAsia" w:ascii="宋体" w:hAnsi="宋体"/>
          <w:color w:val="auto"/>
          <w:szCs w:val="20"/>
          <w:highlight w:val="none"/>
        </w:rPr>
        <w:t>（5）法律法规和磋商文件规定的其他情形。</w:t>
      </w:r>
    </w:p>
    <w:p>
      <w:pPr>
        <w:pStyle w:val="126"/>
        <w:numPr>
          <w:ilvl w:val="0"/>
          <w:numId w:val="17"/>
        </w:numPr>
        <w:spacing w:beforeLines="50" w:afterLines="50"/>
        <w:outlineLvl w:val="2"/>
        <w:rPr>
          <w:rFonts w:ascii="宋体" w:hAnsi="宋体"/>
          <w:b/>
          <w:bCs/>
          <w:color w:val="auto"/>
          <w:highlight w:val="none"/>
        </w:rPr>
      </w:pPr>
      <w:r>
        <w:rPr>
          <w:rFonts w:hint="eastAsia" w:ascii="宋体" w:hAnsi="宋体"/>
          <w:b/>
          <w:bCs/>
          <w:color w:val="auto"/>
          <w:highlight w:val="none"/>
        </w:rPr>
        <w:t>响应有效期</w:t>
      </w:r>
    </w:p>
    <w:p>
      <w:pPr>
        <w:pStyle w:val="2"/>
        <w:ind w:firstLine="420" w:firstLineChars="200"/>
        <w:rPr>
          <w:rFonts w:ascii="宋体" w:hAnsi="宋体"/>
          <w:color w:val="auto"/>
          <w:szCs w:val="20"/>
          <w:highlight w:val="none"/>
        </w:rPr>
      </w:pPr>
      <w:r>
        <w:rPr>
          <w:rFonts w:ascii="宋体" w:hAnsi="宋体"/>
          <w:color w:val="auto"/>
          <w:szCs w:val="20"/>
          <w:highlight w:val="none"/>
        </w:rPr>
        <w:t>5.1</w:t>
      </w:r>
      <w:r>
        <w:rPr>
          <w:rFonts w:hint="eastAsia" w:ascii="宋体" w:hAnsi="宋体"/>
          <w:color w:val="auto"/>
          <w:szCs w:val="20"/>
          <w:highlight w:val="none"/>
        </w:rPr>
        <w:t>响应有效期内供应商撤销响应文件的，采购人或者采购代理机构可以不退还响应保证金（如有）。采用响应保函方式替代保证金的，采购人或者采购代理机构可以向担保机构索赔保证金。</w:t>
      </w:r>
    </w:p>
    <w:p>
      <w:pPr>
        <w:pStyle w:val="2"/>
        <w:ind w:firstLine="420" w:firstLineChars="200"/>
        <w:rPr>
          <w:rFonts w:ascii="宋体" w:hAnsi="宋体"/>
          <w:color w:val="auto"/>
          <w:szCs w:val="20"/>
          <w:highlight w:val="none"/>
        </w:rPr>
      </w:pPr>
      <w:r>
        <w:rPr>
          <w:rFonts w:ascii="宋体" w:hAnsi="宋体"/>
          <w:color w:val="auto"/>
          <w:szCs w:val="20"/>
          <w:highlight w:val="none"/>
        </w:rPr>
        <w:t>5.2</w:t>
      </w:r>
      <w:r>
        <w:rPr>
          <w:rFonts w:hint="eastAsia" w:ascii="宋体" w:hAnsi="宋体"/>
          <w:color w:val="auto"/>
          <w:szCs w:val="20"/>
          <w:highlight w:val="none"/>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126"/>
        <w:numPr>
          <w:ilvl w:val="0"/>
          <w:numId w:val="17"/>
        </w:numPr>
        <w:spacing w:beforeLines="50" w:afterLines="50"/>
        <w:outlineLvl w:val="2"/>
        <w:rPr>
          <w:rFonts w:ascii="宋体" w:hAnsi="宋体"/>
          <w:b/>
          <w:bCs/>
          <w:color w:val="auto"/>
          <w:highlight w:val="none"/>
        </w:rPr>
      </w:pPr>
      <w:r>
        <w:rPr>
          <w:rFonts w:hint="eastAsia" w:ascii="宋体" w:hAnsi="宋体"/>
          <w:b/>
          <w:bCs/>
          <w:color w:val="auto"/>
          <w:highlight w:val="none"/>
        </w:rPr>
        <w:t>样品（演示）</w:t>
      </w:r>
    </w:p>
    <w:p>
      <w:pPr>
        <w:pStyle w:val="2"/>
        <w:ind w:firstLine="420" w:firstLineChars="200"/>
        <w:rPr>
          <w:rFonts w:ascii="宋体" w:hAnsi="宋体"/>
          <w:color w:val="auto"/>
          <w:szCs w:val="20"/>
          <w:highlight w:val="none"/>
        </w:rPr>
      </w:pPr>
      <w:r>
        <w:rPr>
          <w:rFonts w:ascii="宋体" w:hAnsi="宋体"/>
          <w:color w:val="auto"/>
          <w:szCs w:val="20"/>
          <w:highlight w:val="none"/>
        </w:rPr>
        <w:t>6.1</w:t>
      </w:r>
      <w:r>
        <w:rPr>
          <w:rFonts w:hint="eastAsia" w:ascii="宋体" w:hAnsi="宋体"/>
          <w:color w:val="auto"/>
          <w:szCs w:val="20"/>
          <w:highlight w:val="none"/>
        </w:rPr>
        <w:t>磋商文件规定供应商提交样品的，样品属于响应文件的组成部分。样品的生产、运输、安装、保全等一切费用由供应商自理。</w:t>
      </w:r>
    </w:p>
    <w:p>
      <w:pPr>
        <w:pStyle w:val="2"/>
        <w:ind w:firstLine="420" w:firstLineChars="200"/>
        <w:rPr>
          <w:rFonts w:ascii="宋体" w:hAnsi="宋体"/>
          <w:color w:val="auto"/>
          <w:szCs w:val="20"/>
          <w:highlight w:val="none"/>
        </w:rPr>
      </w:pPr>
      <w:r>
        <w:rPr>
          <w:rFonts w:ascii="宋体" w:hAnsi="宋体"/>
          <w:color w:val="auto"/>
          <w:szCs w:val="20"/>
          <w:highlight w:val="none"/>
        </w:rPr>
        <w:t>6.2</w:t>
      </w:r>
      <w:r>
        <w:rPr>
          <w:rFonts w:hint="eastAsia" w:ascii="宋体" w:hAnsi="宋体"/>
          <w:color w:val="auto"/>
          <w:szCs w:val="20"/>
          <w:highlight w:val="none"/>
        </w:rPr>
        <w:t>递交响应文件截止时间前，供应商应将样品送达至指定地点。若需要现场演示的，供应商应提前做好演示准备（包括演示设备）。</w:t>
      </w:r>
    </w:p>
    <w:p>
      <w:pPr>
        <w:pStyle w:val="2"/>
        <w:ind w:firstLine="420" w:firstLineChars="200"/>
        <w:rPr>
          <w:rFonts w:ascii="宋体" w:hAnsi="宋体"/>
          <w:color w:val="auto"/>
          <w:szCs w:val="20"/>
          <w:highlight w:val="none"/>
        </w:rPr>
      </w:pPr>
      <w:r>
        <w:rPr>
          <w:rFonts w:ascii="宋体" w:hAnsi="宋体"/>
          <w:color w:val="auto"/>
          <w:szCs w:val="20"/>
          <w:highlight w:val="none"/>
        </w:rPr>
        <w:t>6.3</w:t>
      </w:r>
      <w:r>
        <w:rPr>
          <w:rFonts w:hint="eastAsia" w:ascii="宋体" w:hAnsi="宋体"/>
          <w:color w:val="auto"/>
          <w:szCs w:val="20"/>
          <w:highlight w:val="none"/>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126"/>
        <w:numPr>
          <w:ilvl w:val="0"/>
          <w:numId w:val="17"/>
        </w:numPr>
        <w:spacing w:beforeLines="50" w:afterLines="50"/>
        <w:outlineLvl w:val="2"/>
        <w:rPr>
          <w:rFonts w:ascii="宋体" w:hAnsi="宋体"/>
          <w:b/>
          <w:bCs/>
          <w:color w:val="auto"/>
          <w:highlight w:val="none"/>
        </w:rPr>
      </w:pPr>
      <w:r>
        <w:rPr>
          <w:rFonts w:hint="eastAsia" w:ascii="宋体" w:hAnsi="宋体"/>
          <w:b/>
          <w:bCs/>
          <w:color w:val="auto"/>
          <w:highlight w:val="none"/>
        </w:rPr>
        <w:t>除磋商文件另有规定外，有下列情形之一的，响应无效：</w:t>
      </w:r>
    </w:p>
    <w:p>
      <w:pPr>
        <w:pStyle w:val="2"/>
        <w:ind w:left="420"/>
        <w:rPr>
          <w:rFonts w:ascii="宋体" w:hAnsi="宋体"/>
          <w:color w:val="auto"/>
          <w:szCs w:val="20"/>
          <w:highlight w:val="none"/>
        </w:rPr>
      </w:pPr>
      <w:r>
        <w:rPr>
          <w:rFonts w:ascii="宋体" w:hAnsi="宋体"/>
          <w:color w:val="auto"/>
          <w:szCs w:val="20"/>
          <w:highlight w:val="none"/>
        </w:rPr>
        <w:t>7.1</w:t>
      </w:r>
      <w:r>
        <w:rPr>
          <w:rFonts w:hint="eastAsia" w:ascii="宋体" w:hAnsi="宋体"/>
          <w:color w:val="auto"/>
          <w:szCs w:val="20"/>
          <w:highlight w:val="none"/>
        </w:rPr>
        <w:t>响应文件未按照磋商文件要求签署、盖章；</w:t>
      </w:r>
    </w:p>
    <w:p>
      <w:pPr>
        <w:pStyle w:val="2"/>
        <w:ind w:left="420"/>
        <w:rPr>
          <w:rFonts w:ascii="宋体" w:hAnsi="宋体"/>
          <w:color w:val="auto"/>
          <w:szCs w:val="20"/>
          <w:highlight w:val="none"/>
        </w:rPr>
      </w:pPr>
      <w:r>
        <w:rPr>
          <w:rFonts w:ascii="宋体" w:hAnsi="宋体"/>
          <w:color w:val="auto"/>
          <w:szCs w:val="20"/>
          <w:highlight w:val="none"/>
        </w:rPr>
        <w:t>7.2</w:t>
      </w:r>
      <w:r>
        <w:rPr>
          <w:rFonts w:hint="eastAsia" w:ascii="宋体" w:hAnsi="宋体"/>
          <w:color w:val="auto"/>
          <w:szCs w:val="20"/>
          <w:highlight w:val="none"/>
        </w:rPr>
        <w:t>不符合磋商文件中规定的资格要求；</w:t>
      </w:r>
    </w:p>
    <w:p>
      <w:pPr>
        <w:pStyle w:val="2"/>
        <w:ind w:left="420"/>
        <w:rPr>
          <w:rFonts w:ascii="宋体" w:hAnsi="宋体"/>
          <w:color w:val="auto"/>
          <w:szCs w:val="20"/>
          <w:highlight w:val="none"/>
        </w:rPr>
      </w:pPr>
      <w:r>
        <w:rPr>
          <w:rFonts w:ascii="宋体" w:hAnsi="宋体"/>
          <w:color w:val="auto"/>
          <w:szCs w:val="20"/>
          <w:highlight w:val="none"/>
        </w:rPr>
        <w:t>7.3</w:t>
      </w:r>
      <w:r>
        <w:rPr>
          <w:rFonts w:hint="eastAsia" w:ascii="宋体" w:hAnsi="宋体"/>
          <w:color w:val="auto"/>
          <w:szCs w:val="20"/>
          <w:highlight w:val="none"/>
        </w:rPr>
        <w:t>磋商报价超过磋商文件中规定的预算金额或最高限价；</w:t>
      </w:r>
    </w:p>
    <w:p>
      <w:pPr>
        <w:pStyle w:val="2"/>
        <w:ind w:left="420"/>
        <w:rPr>
          <w:rFonts w:ascii="宋体" w:hAnsi="宋体"/>
          <w:color w:val="auto"/>
          <w:szCs w:val="20"/>
          <w:highlight w:val="none"/>
        </w:rPr>
      </w:pPr>
      <w:r>
        <w:rPr>
          <w:rFonts w:ascii="宋体" w:hAnsi="宋体"/>
          <w:color w:val="auto"/>
          <w:szCs w:val="20"/>
          <w:highlight w:val="none"/>
        </w:rPr>
        <w:t>7.4</w:t>
      </w:r>
      <w:r>
        <w:rPr>
          <w:rFonts w:hint="eastAsia" w:ascii="宋体" w:hAnsi="宋体"/>
          <w:color w:val="auto"/>
          <w:szCs w:val="20"/>
          <w:highlight w:val="none"/>
        </w:rPr>
        <w:t>响应文件含有采购人不能接受的附加条件；</w:t>
      </w:r>
    </w:p>
    <w:p>
      <w:pPr>
        <w:pStyle w:val="2"/>
        <w:ind w:left="420"/>
        <w:rPr>
          <w:rFonts w:ascii="宋体" w:hAnsi="宋体"/>
          <w:color w:val="auto"/>
          <w:szCs w:val="20"/>
          <w:highlight w:val="none"/>
        </w:rPr>
      </w:pPr>
      <w:r>
        <w:rPr>
          <w:rFonts w:ascii="宋体" w:hAnsi="宋体"/>
          <w:color w:val="auto"/>
          <w:szCs w:val="20"/>
          <w:highlight w:val="none"/>
        </w:rPr>
        <w:t>7.5</w:t>
      </w:r>
      <w:r>
        <w:rPr>
          <w:rFonts w:hint="eastAsia" w:ascii="宋体" w:hAnsi="宋体"/>
          <w:color w:val="auto"/>
          <w:szCs w:val="20"/>
          <w:highlight w:val="none"/>
        </w:rPr>
        <w:t>有关法律、法规和规章及磋商文件规定的其他无效情形。</w:t>
      </w:r>
    </w:p>
    <w:p>
      <w:pPr>
        <w:pStyle w:val="4"/>
        <w:numPr>
          <w:ilvl w:val="0"/>
          <w:numId w:val="15"/>
        </w:numPr>
        <w:spacing w:before="120" w:after="120"/>
        <w:ind w:left="0" w:firstLine="0"/>
        <w:rPr>
          <w:rFonts w:ascii="宋体" w:hAnsi="宋体"/>
          <w:color w:val="auto"/>
          <w:sz w:val="21"/>
          <w:szCs w:val="21"/>
          <w:highlight w:val="none"/>
        </w:rPr>
      </w:pPr>
      <w:bookmarkStart w:id="39" w:name="_Toc104040693"/>
      <w:r>
        <w:rPr>
          <w:rFonts w:hint="eastAsia" w:ascii="宋体" w:hAnsi="宋体"/>
          <w:color w:val="auto"/>
          <w:sz w:val="21"/>
          <w:szCs w:val="21"/>
          <w:highlight w:val="none"/>
        </w:rPr>
        <w:t>磋商、评审和结果</w:t>
      </w:r>
      <w:bookmarkEnd w:id="39"/>
      <w:r>
        <w:rPr>
          <w:rFonts w:hint="eastAsia" w:ascii="宋体" w:hAnsi="宋体"/>
          <w:color w:val="auto"/>
          <w:sz w:val="21"/>
          <w:szCs w:val="21"/>
          <w:highlight w:val="none"/>
        </w:rPr>
        <w:t>确认</w:t>
      </w:r>
    </w:p>
    <w:p>
      <w:pPr>
        <w:pStyle w:val="126"/>
        <w:numPr>
          <w:ilvl w:val="0"/>
          <w:numId w:val="18"/>
        </w:numPr>
        <w:spacing w:beforeLines="50" w:afterLines="50"/>
        <w:outlineLvl w:val="2"/>
        <w:rPr>
          <w:rFonts w:ascii="宋体" w:hAnsi="宋体"/>
          <w:b/>
          <w:bCs/>
          <w:color w:val="auto"/>
          <w:highlight w:val="none"/>
        </w:rPr>
      </w:pPr>
      <w:r>
        <w:rPr>
          <w:rFonts w:hint="eastAsia" w:ascii="宋体" w:hAnsi="宋体"/>
          <w:b/>
          <w:bCs/>
          <w:color w:val="auto"/>
          <w:highlight w:val="none"/>
        </w:rPr>
        <w:t>响应文件的开启</w:t>
      </w:r>
    </w:p>
    <w:p>
      <w:pPr>
        <w:pStyle w:val="2"/>
        <w:ind w:left="420"/>
        <w:rPr>
          <w:rFonts w:ascii="宋体" w:hAnsi="宋体"/>
          <w:color w:val="auto"/>
          <w:szCs w:val="20"/>
          <w:highlight w:val="none"/>
        </w:rPr>
      </w:pPr>
      <w:r>
        <w:rPr>
          <w:rFonts w:hint="eastAsia" w:ascii="宋体" w:hAnsi="宋体"/>
          <w:color w:val="auto"/>
          <w:szCs w:val="20"/>
          <w:highlight w:val="none"/>
        </w:rPr>
        <w:t>1</w:t>
      </w:r>
      <w:r>
        <w:rPr>
          <w:rFonts w:ascii="宋体" w:hAnsi="宋体"/>
          <w:color w:val="auto"/>
          <w:szCs w:val="20"/>
          <w:highlight w:val="none"/>
        </w:rPr>
        <w:t>.1</w:t>
      </w:r>
      <w:r>
        <w:rPr>
          <w:rFonts w:hint="eastAsia" w:ascii="宋体" w:hAnsi="宋体"/>
          <w:color w:val="auto"/>
          <w:szCs w:val="20"/>
          <w:highlight w:val="none"/>
        </w:rPr>
        <w:t>开启程序</w:t>
      </w:r>
    </w:p>
    <w:p>
      <w:pPr>
        <w:pStyle w:val="2"/>
        <w:ind w:firstLine="420" w:firstLineChars="200"/>
        <w:rPr>
          <w:rFonts w:ascii="宋体" w:hAnsi="宋体"/>
          <w:color w:val="auto"/>
          <w:szCs w:val="20"/>
          <w:highlight w:val="none"/>
        </w:rPr>
      </w:pPr>
      <w:r>
        <w:rPr>
          <w:rFonts w:hint="eastAsia" w:ascii="宋体" w:hAnsi="宋体"/>
          <w:color w:val="auto"/>
          <w:szCs w:val="20"/>
          <w:highlight w:val="none"/>
        </w:rPr>
        <w:t>工作人员按磋商公告规定的时间进行开启，由采购人或者采购代理机构工作人员宣布供应商名称和采购文件规定的需要宣布的其他内容。</w:t>
      </w:r>
    </w:p>
    <w:p>
      <w:pPr>
        <w:pStyle w:val="2"/>
        <w:ind w:firstLine="420" w:firstLineChars="200"/>
        <w:rPr>
          <w:rFonts w:ascii="宋体" w:hAnsi="宋体"/>
          <w:color w:val="auto"/>
          <w:szCs w:val="20"/>
          <w:highlight w:val="none"/>
        </w:rPr>
      </w:pPr>
      <w:r>
        <w:rPr>
          <w:rFonts w:hint="eastAsia" w:ascii="宋体" w:hAnsi="宋体"/>
          <w:color w:val="auto"/>
          <w:szCs w:val="20"/>
          <w:highlight w:val="none"/>
        </w:rPr>
        <w:t>采用现场开启的：供应商的法定代表人或其委托代理人应当携带本人身份证等材料按照本采购公告载明的时间和地点前往参加现场开启会议。</w:t>
      </w:r>
    </w:p>
    <w:p>
      <w:pPr>
        <w:pStyle w:val="2"/>
        <w:ind w:left="420"/>
        <w:rPr>
          <w:rFonts w:ascii="宋体" w:hAnsi="宋体"/>
          <w:color w:val="auto"/>
          <w:szCs w:val="20"/>
          <w:highlight w:val="none"/>
        </w:rPr>
      </w:pPr>
      <w:r>
        <w:rPr>
          <w:rFonts w:ascii="宋体" w:hAnsi="宋体"/>
          <w:color w:val="auto"/>
          <w:szCs w:val="20"/>
          <w:highlight w:val="none"/>
        </w:rPr>
        <w:t>1.2</w:t>
      </w:r>
      <w:r>
        <w:rPr>
          <w:rFonts w:hint="eastAsia" w:ascii="宋体" w:hAnsi="宋体"/>
          <w:color w:val="auto"/>
          <w:szCs w:val="20"/>
          <w:highlight w:val="none"/>
        </w:rPr>
        <w:t>异议</w:t>
      </w:r>
    </w:p>
    <w:p>
      <w:pPr>
        <w:pStyle w:val="2"/>
        <w:ind w:firstLine="420" w:firstLineChars="200"/>
        <w:rPr>
          <w:rFonts w:ascii="宋体" w:hAnsi="宋体"/>
          <w:color w:val="auto"/>
          <w:szCs w:val="20"/>
          <w:highlight w:val="none"/>
        </w:rPr>
      </w:pPr>
      <w:r>
        <w:rPr>
          <w:rFonts w:hint="eastAsia" w:ascii="宋体" w:hAnsi="宋体"/>
          <w:color w:val="auto"/>
          <w:szCs w:val="20"/>
          <w:highlight w:val="none"/>
        </w:rPr>
        <w:t>供应商代表对开启过程和开启记录有疑义，以及认为采购人、采购代理机构相关工作人员有需要回避的情形的，应当场提出询问或者回避申请。供应商未参加开启的，视同认可开启结果。</w:t>
      </w:r>
    </w:p>
    <w:p>
      <w:pPr>
        <w:pStyle w:val="126"/>
        <w:numPr>
          <w:ilvl w:val="0"/>
          <w:numId w:val="18"/>
        </w:numPr>
        <w:spacing w:beforeLines="50" w:afterLines="50"/>
        <w:outlineLvl w:val="2"/>
        <w:rPr>
          <w:rFonts w:ascii="宋体" w:hAnsi="宋体"/>
          <w:b/>
          <w:bCs/>
          <w:color w:val="auto"/>
          <w:highlight w:val="none"/>
        </w:rPr>
      </w:pPr>
      <w:r>
        <w:rPr>
          <w:rFonts w:hint="eastAsia" w:ascii="宋体" w:hAnsi="宋体"/>
          <w:b/>
          <w:bCs/>
          <w:color w:val="auto"/>
          <w:highlight w:val="none"/>
        </w:rPr>
        <w:t>评审（详见第四章）</w:t>
      </w:r>
    </w:p>
    <w:p>
      <w:pPr>
        <w:pStyle w:val="126"/>
        <w:numPr>
          <w:ilvl w:val="0"/>
          <w:numId w:val="18"/>
        </w:numPr>
        <w:spacing w:beforeLines="50" w:afterLines="50"/>
        <w:outlineLvl w:val="2"/>
        <w:rPr>
          <w:rFonts w:ascii="宋体" w:hAnsi="宋体"/>
          <w:b/>
          <w:bCs/>
          <w:color w:val="auto"/>
          <w:highlight w:val="none"/>
        </w:rPr>
      </w:pPr>
      <w:r>
        <w:rPr>
          <w:rFonts w:hint="eastAsia" w:ascii="宋体" w:hAnsi="宋体"/>
          <w:b/>
          <w:bCs/>
          <w:color w:val="auto"/>
          <w:highlight w:val="none"/>
        </w:rPr>
        <w:t>成交</w:t>
      </w:r>
    </w:p>
    <w:p>
      <w:pPr>
        <w:pStyle w:val="2"/>
        <w:ind w:left="420"/>
        <w:rPr>
          <w:rFonts w:ascii="宋体" w:hAnsi="宋体"/>
          <w:color w:val="auto"/>
          <w:szCs w:val="20"/>
          <w:highlight w:val="none"/>
        </w:rPr>
      </w:pPr>
      <w:r>
        <w:rPr>
          <w:rFonts w:hint="eastAsia" w:ascii="宋体" w:hAnsi="宋体"/>
          <w:color w:val="auto"/>
          <w:szCs w:val="20"/>
          <w:highlight w:val="none"/>
        </w:rPr>
        <w:t>3</w:t>
      </w:r>
      <w:r>
        <w:rPr>
          <w:rFonts w:ascii="宋体" w:hAnsi="宋体"/>
          <w:color w:val="auto"/>
          <w:szCs w:val="20"/>
          <w:highlight w:val="none"/>
        </w:rPr>
        <w:t>.1</w:t>
      </w:r>
      <w:r>
        <w:rPr>
          <w:rFonts w:hint="eastAsia" w:ascii="宋体" w:hAnsi="宋体"/>
          <w:color w:val="auto"/>
          <w:szCs w:val="20"/>
          <w:highlight w:val="none"/>
        </w:rPr>
        <w:t>成交结果公告：</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成交供应商确定之日起2个工作日内，采购人或采购代理机构将在相关公告发布媒介（与采购公告发布媒介一致）上以公告的形式发布成交结果，结果公告的公告期限为</w:t>
      </w:r>
      <w:r>
        <w:rPr>
          <w:rFonts w:ascii="宋体" w:hAnsi="宋体"/>
          <w:color w:val="auto"/>
          <w:szCs w:val="20"/>
          <w:highlight w:val="none"/>
        </w:rPr>
        <w:t>1</w:t>
      </w:r>
      <w:r>
        <w:rPr>
          <w:rFonts w:hint="eastAsia" w:ascii="宋体" w:hAnsi="宋体"/>
          <w:color w:val="auto"/>
          <w:szCs w:val="20"/>
          <w:highlight w:val="none"/>
        </w:rPr>
        <w:t>个工作日。结果公告同时作为采购代理机构通知除成交供应商外的其他供应商没有成交的书面形式，采购代理机构不再以其它方式另行通知。</w:t>
      </w:r>
    </w:p>
    <w:p>
      <w:pPr>
        <w:pStyle w:val="2"/>
        <w:ind w:left="420"/>
        <w:rPr>
          <w:rFonts w:ascii="宋体" w:hAnsi="宋体"/>
          <w:color w:val="auto"/>
          <w:szCs w:val="20"/>
          <w:highlight w:val="none"/>
        </w:rPr>
      </w:pPr>
      <w:r>
        <w:rPr>
          <w:rFonts w:hint="eastAsia" w:ascii="宋体" w:hAnsi="宋体"/>
          <w:color w:val="auto"/>
          <w:szCs w:val="20"/>
          <w:highlight w:val="none"/>
        </w:rPr>
        <w:t>3</w:t>
      </w:r>
      <w:r>
        <w:rPr>
          <w:rFonts w:ascii="宋体" w:hAnsi="宋体"/>
          <w:color w:val="auto"/>
          <w:szCs w:val="20"/>
          <w:highlight w:val="none"/>
        </w:rPr>
        <w:t>.2</w:t>
      </w:r>
      <w:r>
        <w:rPr>
          <w:rFonts w:hint="eastAsia" w:ascii="宋体" w:hAnsi="宋体"/>
          <w:color w:val="auto"/>
          <w:szCs w:val="20"/>
          <w:highlight w:val="none"/>
        </w:rPr>
        <w:t>成交通知书：</w:t>
      </w:r>
    </w:p>
    <w:p>
      <w:pPr>
        <w:pStyle w:val="2"/>
        <w:ind w:firstLine="420" w:firstLineChars="200"/>
        <w:rPr>
          <w:rFonts w:ascii="宋体" w:hAnsi="宋体"/>
          <w:color w:val="auto"/>
          <w:szCs w:val="20"/>
          <w:highlight w:val="none"/>
        </w:rPr>
      </w:pPr>
      <w:r>
        <w:rPr>
          <w:rFonts w:hint="eastAsia" w:ascii="宋体" w:hAnsi="宋体"/>
          <w:color w:val="auto"/>
          <w:szCs w:val="20"/>
          <w:highlight w:val="none"/>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pPr>
        <w:pStyle w:val="2"/>
        <w:ind w:left="420"/>
        <w:rPr>
          <w:rFonts w:ascii="宋体" w:hAnsi="宋体"/>
          <w:color w:val="auto"/>
          <w:szCs w:val="20"/>
          <w:highlight w:val="none"/>
        </w:rPr>
      </w:pPr>
      <w:r>
        <w:rPr>
          <w:rFonts w:hint="eastAsia" w:ascii="宋体" w:hAnsi="宋体"/>
          <w:color w:val="auto"/>
          <w:szCs w:val="20"/>
          <w:highlight w:val="none"/>
        </w:rPr>
        <w:t>3</w:t>
      </w:r>
      <w:r>
        <w:rPr>
          <w:rFonts w:ascii="宋体" w:hAnsi="宋体"/>
          <w:color w:val="auto"/>
          <w:szCs w:val="20"/>
          <w:highlight w:val="none"/>
        </w:rPr>
        <w:t>.3</w:t>
      </w:r>
      <w:r>
        <w:rPr>
          <w:rFonts w:hint="eastAsia" w:ascii="宋体" w:hAnsi="宋体"/>
          <w:color w:val="auto"/>
          <w:szCs w:val="20"/>
          <w:highlight w:val="none"/>
        </w:rPr>
        <w:t>终止公告：</w:t>
      </w:r>
    </w:p>
    <w:p>
      <w:pPr>
        <w:pStyle w:val="2"/>
        <w:ind w:firstLine="420" w:firstLineChars="200"/>
        <w:rPr>
          <w:rFonts w:ascii="宋体" w:hAnsi="宋体"/>
          <w:color w:val="auto"/>
          <w:szCs w:val="20"/>
          <w:highlight w:val="none"/>
        </w:rPr>
      </w:pPr>
      <w:r>
        <w:rPr>
          <w:rFonts w:hint="eastAsia" w:ascii="宋体" w:hAnsi="宋体"/>
          <w:color w:val="auto"/>
          <w:szCs w:val="20"/>
          <w:highlight w:val="none"/>
        </w:rPr>
        <w:t>终止磋商采购活动后，采购人或采购代理机构将在相关公告发布媒介（与采购公告发布媒介一致）上发布终止公告，终止公告的公告期限为</w:t>
      </w:r>
      <w:r>
        <w:rPr>
          <w:rFonts w:ascii="宋体" w:hAnsi="宋体"/>
          <w:color w:val="auto"/>
          <w:szCs w:val="20"/>
          <w:highlight w:val="none"/>
        </w:rPr>
        <w:t>1</w:t>
      </w:r>
      <w:r>
        <w:rPr>
          <w:rFonts w:hint="eastAsia" w:ascii="宋体" w:hAnsi="宋体"/>
          <w:color w:val="auto"/>
          <w:szCs w:val="20"/>
          <w:highlight w:val="none"/>
        </w:rPr>
        <w:t>个工作日。</w:t>
      </w:r>
    </w:p>
    <w:p>
      <w:pPr>
        <w:pStyle w:val="2"/>
        <w:ind w:firstLine="420" w:firstLineChars="200"/>
        <w:rPr>
          <w:rFonts w:ascii="宋体" w:hAnsi="宋体"/>
          <w:color w:val="auto"/>
          <w:szCs w:val="20"/>
          <w:highlight w:val="none"/>
        </w:rPr>
      </w:pPr>
    </w:p>
    <w:p>
      <w:pPr>
        <w:pStyle w:val="4"/>
        <w:numPr>
          <w:ilvl w:val="0"/>
          <w:numId w:val="15"/>
        </w:numPr>
        <w:spacing w:before="120" w:after="120"/>
        <w:ind w:left="0" w:firstLine="0"/>
        <w:rPr>
          <w:rFonts w:ascii="宋体" w:hAnsi="宋体"/>
          <w:color w:val="auto"/>
          <w:sz w:val="21"/>
          <w:szCs w:val="21"/>
          <w:highlight w:val="none"/>
        </w:rPr>
      </w:pPr>
      <w:bookmarkStart w:id="40" w:name="_Toc104040694"/>
      <w:r>
        <w:rPr>
          <w:rFonts w:hint="eastAsia" w:ascii="宋体" w:hAnsi="宋体"/>
          <w:color w:val="auto"/>
          <w:sz w:val="21"/>
          <w:szCs w:val="21"/>
          <w:highlight w:val="none"/>
        </w:rPr>
        <w:t>询问、质疑与投诉</w:t>
      </w:r>
      <w:bookmarkEnd w:id="40"/>
    </w:p>
    <w:p>
      <w:pPr>
        <w:pStyle w:val="126"/>
        <w:numPr>
          <w:ilvl w:val="0"/>
          <w:numId w:val="19"/>
        </w:numPr>
        <w:spacing w:beforeLines="50" w:afterLines="50"/>
        <w:outlineLvl w:val="2"/>
        <w:rPr>
          <w:rFonts w:ascii="宋体" w:hAnsi="宋体"/>
          <w:b/>
          <w:bCs/>
          <w:color w:val="auto"/>
          <w:highlight w:val="none"/>
        </w:rPr>
      </w:pPr>
      <w:r>
        <w:rPr>
          <w:rFonts w:hint="eastAsia" w:ascii="宋体" w:hAnsi="宋体"/>
          <w:b/>
          <w:bCs/>
          <w:color w:val="auto"/>
          <w:highlight w:val="none"/>
        </w:rPr>
        <w:t>询问</w:t>
      </w:r>
    </w:p>
    <w:p>
      <w:pPr>
        <w:pStyle w:val="2"/>
        <w:ind w:firstLine="420" w:firstLineChars="200"/>
        <w:rPr>
          <w:rFonts w:ascii="宋体" w:hAnsi="宋体"/>
          <w:color w:val="auto"/>
          <w:szCs w:val="20"/>
          <w:highlight w:val="none"/>
        </w:rPr>
      </w:pPr>
      <w:r>
        <w:rPr>
          <w:rFonts w:hint="eastAsia" w:ascii="宋体" w:hAnsi="宋体"/>
          <w:color w:val="auto"/>
          <w:szCs w:val="20"/>
          <w:highlight w:val="none"/>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pPr>
        <w:pStyle w:val="126"/>
        <w:numPr>
          <w:ilvl w:val="0"/>
          <w:numId w:val="19"/>
        </w:numPr>
        <w:spacing w:beforeLines="50" w:afterLines="50"/>
        <w:outlineLvl w:val="2"/>
        <w:rPr>
          <w:rFonts w:ascii="宋体" w:hAnsi="宋体"/>
          <w:b/>
          <w:bCs/>
          <w:color w:val="auto"/>
          <w:highlight w:val="none"/>
        </w:rPr>
      </w:pPr>
      <w:r>
        <w:rPr>
          <w:rFonts w:hint="eastAsia" w:ascii="宋体" w:hAnsi="宋体"/>
          <w:b/>
          <w:bCs/>
          <w:color w:val="auto"/>
          <w:highlight w:val="none"/>
        </w:rPr>
        <w:t>质疑</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.1</w:t>
      </w:r>
      <w:r>
        <w:rPr>
          <w:rFonts w:hint="eastAsia" w:ascii="宋体" w:hAnsi="宋体"/>
          <w:color w:val="auto"/>
          <w:szCs w:val="20"/>
          <w:highlight w:val="none"/>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（1）对磋商文件提出质疑的，为获取磋商文件之日或者磋商文件公告期限届满之日；</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（2）对采购过程提出质疑的，为各采购程序环节结束之日；</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（3）对成交结果提出质疑的，为成交结果公告期限届满之日。</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.2</w:t>
      </w:r>
      <w:r>
        <w:rPr>
          <w:rFonts w:hint="eastAsia" w:ascii="宋体" w:hAnsi="宋体"/>
          <w:color w:val="auto"/>
          <w:szCs w:val="20"/>
          <w:highlight w:val="none"/>
        </w:rPr>
        <w:t>质疑函应当包括下列主要内容：</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（1）质疑供应商和相关供应商的名称、地址、邮编、联系人及联系电话等；</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（2）质疑项目名称及编号、具体明确的质疑事项和与质疑事项相关的请求；</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（3）认为磋商文件、采购过程和成交结果使自己的合法权益受到损害的法律依据、事实依据、相关证明材料及证据来源；</w:t>
      </w:r>
    </w:p>
    <w:p>
      <w:pPr>
        <w:pStyle w:val="2"/>
        <w:ind w:firstLine="420" w:firstLineChars="200"/>
        <w:rPr>
          <w:rFonts w:ascii="宋体" w:hAnsi="宋体"/>
          <w:color w:val="auto"/>
          <w:szCs w:val="20"/>
          <w:highlight w:val="none"/>
        </w:rPr>
      </w:pPr>
      <w:r>
        <w:rPr>
          <w:rFonts w:hint="eastAsia" w:ascii="宋体" w:hAnsi="宋体"/>
          <w:color w:val="auto"/>
          <w:szCs w:val="20"/>
          <w:highlight w:val="none"/>
        </w:rPr>
        <w:t>（4）提出质疑的日期。</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.3</w:t>
      </w:r>
      <w:r>
        <w:rPr>
          <w:rFonts w:hint="eastAsia" w:ascii="宋体" w:hAnsi="宋体"/>
          <w:color w:val="auto"/>
          <w:szCs w:val="20"/>
          <w:highlight w:val="none"/>
        </w:rPr>
        <w:t>质疑函应当署名。质疑供应商为自然人的，应当由本人签字；质疑供应商为法人或者其他组织的，应当由法定代表人、主要负责人，或者其授权代表签字或者盖章，并加盖公章。</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.4</w:t>
      </w:r>
      <w:r>
        <w:rPr>
          <w:rFonts w:hint="eastAsia" w:ascii="宋体" w:hAnsi="宋体"/>
          <w:color w:val="auto"/>
          <w:szCs w:val="20"/>
          <w:highlight w:val="none"/>
        </w:rPr>
        <w:t>以联合体形式参加采购活动的，其质疑应当由联合体成员委托主体提出。</w:t>
      </w:r>
    </w:p>
    <w:p>
      <w:pPr>
        <w:pStyle w:val="2"/>
        <w:ind w:firstLine="420" w:firstLineChars="200"/>
        <w:rPr>
          <w:rFonts w:ascii="宋体" w:hAnsi="宋体"/>
          <w:color w:val="auto"/>
          <w:szCs w:val="20"/>
          <w:highlight w:val="none"/>
        </w:rPr>
      </w:pPr>
      <w:r>
        <w:rPr>
          <w:rFonts w:ascii="宋体" w:hAnsi="宋体"/>
          <w:color w:val="auto"/>
          <w:szCs w:val="20"/>
          <w:highlight w:val="none"/>
        </w:rPr>
        <w:t>2.5</w:t>
      </w:r>
      <w:r>
        <w:rPr>
          <w:rFonts w:hint="eastAsia" w:ascii="宋体" w:hAnsi="宋体"/>
          <w:color w:val="auto"/>
          <w:szCs w:val="20"/>
          <w:highlight w:val="none"/>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.6</w:t>
      </w:r>
      <w:r>
        <w:rPr>
          <w:rFonts w:hint="eastAsia" w:ascii="宋体" w:hAnsi="宋体"/>
          <w:color w:val="auto"/>
          <w:szCs w:val="20"/>
          <w:highlight w:val="none"/>
        </w:rPr>
        <w:t xml:space="preserve">质疑联系方式如下： </w:t>
      </w:r>
    </w:p>
    <w:p>
      <w:pPr>
        <w:pStyle w:val="2"/>
        <w:ind w:firstLine="420" w:firstLineChars="200"/>
        <w:rPr>
          <w:rFonts w:ascii="宋体" w:hAnsi="宋体"/>
          <w:color w:val="auto"/>
          <w:szCs w:val="20"/>
          <w:highlight w:val="none"/>
        </w:rPr>
      </w:pPr>
      <w:r>
        <w:rPr>
          <w:rFonts w:hint="eastAsia" w:ascii="宋体" w:hAnsi="宋体"/>
          <w:color w:val="auto"/>
          <w:szCs w:val="20"/>
          <w:highlight w:val="none"/>
        </w:rPr>
        <w:t>质疑联系人：詹先生</w:t>
      </w:r>
    </w:p>
    <w:p>
      <w:pPr>
        <w:pStyle w:val="2"/>
        <w:ind w:firstLine="420" w:firstLineChars="200"/>
        <w:rPr>
          <w:rFonts w:ascii="宋体" w:hAnsi="宋体"/>
          <w:color w:val="auto"/>
          <w:szCs w:val="20"/>
          <w:highlight w:val="none"/>
        </w:rPr>
      </w:pPr>
      <w:r>
        <w:rPr>
          <w:rFonts w:hint="eastAsia" w:ascii="宋体" w:hAnsi="宋体"/>
          <w:color w:val="auto"/>
          <w:szCs w:val="20"/>
          <w:highlight w:val="none"/>
        </w:rPr>
        <w:t>电话：</w:t>
      </w:r>
      <w:r>
        <w:rPr>
          <w:rFonts w:ascii="宋体" w:hAnsi="宋体"/>
          <w:color w:val="auto"/>
          <w:szCs w:val="20"/>
          <w:highlight w:val="none"/>
        </w:rPr>
        <w:t>0668-2998639</w:t>
      </w:r>
    </w:p>
    <w:p>
      <w:pPr>
        <w:pStyle w:val="2"/>
        <w:ind w:firstLine="420" w:firstLineChars="200"/>
        <w:rPr>
          <w:rFonts w:hint="default" w:ascii="宋体" w:hAnsi="宋体" w:eastAsia="宋体"/>
          <w:color w:val="auto"/>
          <w:szCs w:val="20"/>
          <w:highlight w:val="none"/>
          <w:lang w:val="en-US" w:eastAsia="zh-CN"/>
        </w:rPr>
      </w:pPr>
      <w:r>
        <w:rPr>
          <w:rFonts w:hint="eastAsia" w:ascii="宋体" w:hAnsi="宋体"/>
          <w:color w:val="auto"/>
          <w:szCs w:val="20"/>
          <w:highlight w:val="none"/>
        </w:rPr>
        <w:t>地址：茂名市光华南路118号润威商厦</w:t>
      </w:r>
      <w:r>
        <w:rPr>
          <w:rFonts w:hint="eastAsia" w:ascii="宋体" w:hAnsi="宋体"/>
          <w:color w:val="auto"/>
          <w:szCs w:val="20"/>
          <w:highlight w:val="none"/>
          <w:lang w:val="en-US" w:eastAsia="zh-CN"/>
        </w:rPr>
        <w:t>6</w:t>
      </w:r>
      <w:r>
        <w:rPr>
          <w:rFonts w:hint="eastAsia" w:ascii="宋体" w:hAnsi="宋体"/>
          <w:color w:val="auto"/>
          <w:szCs w:val="20"/>
          <w:highlight w:val="none"/>
        </w:rPr>
        <w:t>楼</w:t>
      </w:r>
      <w:r>
        <w:rPr>
          <w:rFonts w:hint="eastAsia" w:ascii="宋体" w:hAnsi="宋体"/>
          <w:color w:val="auto"/>
          <w:szCs w:val="20"/>
          <w:highlight w:val="none"/>
          <w:lang w:val="en-US" w:eastAsia="zh-CN"/>
        </w:rPr>
        <w:t>602</w:t>
      </w:r>
    </w:p>
    <w:p>
      <w:pPr>
        <w:pStyle w:val="356"/>
        <w:ind w:firstLine="420"/>
        <w:rPr>
          <w:color w:val="auto"/>
          <w:sz w:val="21"/>
          <w:szCs w:val="21"/>
          <w:highlight w:val="none"/>
          <w:lang w:eastAsia="zh-CN"/>
        </w:rPr>
      </w:pPr>
      <w:r>
        <w:rPr>
          <w:rFonts w:hint="eastAsia"/>
          <w:color w:val="auto"/>
          <w:sz w:val="21"/>
          <w:szCs w:val="21"/>
          <w:highlight w:val="none"/>
          <w:lang w:eastAsia="zh-CN"/>
        </w:rPr>
        <w:t>邮编：</w:t>
      </w:r>
      <w:r>
        <w:rPr>
          <w:color w:val="auto"/>
          <w:sz w:val="21"/>
          <w:szCs w:val="21"/>
          <w:highlight w:val="none"/>
          <w:lang w:eastAsia="zh-CN"/>
        </w:rPr>
        <w:t>525000</w:t>
      </w:r>
    </w:p>
    <w:p>
      <w:pPr>
        <w:pStyle w:val="356"/>
        <w:ind w:firstLine="420"/>
        <w:rPr>
          <w:color w:val="auto"/>
          <w:sz w:val="21"/>
          <w:szCs w:val="21"/>
          <w:highlight w:val="none"/>
          <w:lang w:eastAsia="zh-CN"/>
        </w:rPr>
      </w:pPr>
      <w:r>
        <w:rPr>
          <w:rFonts w:hint="eastAsia"/>
          <w:color w:val="auto"/>
          <w:sz w:val="21"/>
          <w:szCs w:val="21"/>
          <w:highlight w:val="none"/>
          <w:lang w:eastAsia="zh-CN"/>
        </w:rPr>
        <w:t>2</w:t>
      </w:r>
      <w:r>
        <w:rPr>
          <w:color w:val="auto"/>
          <w:sz w:val="21"/>
          <w:szCs w:val="21"/>
          <w:highlight w:val="none"/>
          <w:lang w:eastAsia="zh-CN"/>
        </w:rPr>
        <w:t xml:space="preserve">.7 </w:t>
      </w:r>
      <w:r>
        <w:rPr>
          <w:rFonts w:hint="eastAsia"/>
          <w:color w:val="auto"/>
          <w:sz w:val="21"/>
          <w:szCs w:val="21"/>
          <w:highlight w:val="none"/>
          <w:lang w:eastAsia="zh-CN"/>
        </w:rPr>
        <w:t>质疑提交方式</w:t>
      </w:r>
    </w:p>
    <w:p>
      <w:pPr>
        <w:pStyle w:val="356"/>
        <w:ind w:firstLine="420"/>
        <w:rPr>
          <w:color w:val="auto"/>
          <w:sz w:val="21"/>
          <w:szCs w:val="21"/>
          <w:highlight w:val="none"/>
          <w:lang w:eastAsia="zh-CN"/>
        </w:rPr>
      </w:pPr>
      <w:r>
        <w:rPr>
          <w:rFonts w:hint="eastAsia"/>
          <w:color w:val="auto"/>
          <w:sz w:val="21"/>
          <w:szCs w:val="21"/>
          <w:highlight w:val="none"/>
          <w:lang w:eastAsia="zh-CN"/>
        </w:rPr>
        <w:t>在法定质疑期内现场提交、邮寄、快递（不接收到付件）。邮寄、快递收件地址和收件人信息详见以上质疑联系方式。</w:t>
      </w:r>
    </w:p>
    <w:p>
      <w:pPr>
        <w:pStyle w:val="356"/>
        <w:ind w:firstLine="420"/>
        <w:rPr>
          <w:color w:val="auto"/>
          <w:sz w:val="21"/>
          <w:szCs w:val="21"/>
          <w:highlight w:val="none"/>
          <w:lang w:eastAsia="zh-CN"/>
        </w:rPr>
      </w:pPr>
      <w:r>
        <w:rPr>
          <w:rFonts w:hint="eastAsia"/>
          <w:color w:val="auto"/>
          <w:sz w:val="21"/>
          <w:szCs w:val="21"/>
          <w:highlight w:val="none"/>
          <w:lang w:eastAsia="zh-CN"/>
        </w:rPr>
        <w:t>（1）</w:t>
      </w:r>
      <w:r>
        <w:rPr>
          <w:color w:val="auto"/>
          <w:sz w:val="21"/>
          <w:szCs w:val="21"/>
          <w:highlight w:val="none"/>
          <w:lang w:eastAsia="zh-CN"/>
        </w:rPr>
        <w:t>以邮寄、快递方式递交的，质疑提起日期应当以邮寄件上的戳记日期、邮政快递件上的戳记日期或非邮政快递件上的签注日期，受理日期为</w:t>
      </w:r>
      <w:r>
        <w:rPr>
          <w:rFonts w:hint="eastAsia"/>
          <w:color w:val="auto"/>
          <w:sz w:val="21"/>
          <w:szCs w:val="21"/>
          <w:highlight w:val="none"/>
          <w:lang w:eastAsia="zh-CN"/>
        </w:rPr>
        <w:t>广东达禾工程管理有限公司</w:t>
      </w:r>
      <w:r>
        <w:rPr>
          <w:color w:val="auto"/>
          <w:sz w:val="21"/>
          <w:szCs w:val="21"/>
          <w:highlight w:val="none"/>
          <w:lang w:eastAsia="zh-CN"/>
        </w:rPr>
        <w:t>收到符合规定的质疑材料之日。若质疑材料不符合受理条件的，</w:t>
      </w:r>
      <w:r>
        <w:rPr>
          <w:rFonts w:hint="eastAsia"/>
          <w:color w:val="auto"/>
          <w:sz w:val="21"/>
          <w:szCs w:val="21"/>
          <w:highlight w:val="none"/>
          <w:lang w:eastAsia="zh-CN"/>
        </w:rPr>
        <w:t>广东达禾工程管理有限公司</w:t>
      </w:r>
      <w:r>
        <w:rPr>
          <w:color w:val="auto"/>
          <w:sz w:val="21"/>
          <w:szCs w:val="21"/>
          <w:highlight w:val="none"/>
          <w:lang w:eastAsia="zh-CN"/>
        </w:rPr>
        <w:t>向供应商出具不符合质疑条件告知书。</w:t>
      </w:r>
    </w:p>
    <w:p>
      <w:pPr>
        <w:pStyle w:val="356"/>
        <w:ind w:firstLine="420"/>
        <w:rPr>
          <w:color w:val="auto"/>
          <w:sz w:val="21"/>
          <w:szCs w:val="20"/>
          <w:highlight w:val="none"/>
          <w:lang w:eastAsia="zh-CN"/>
        </w:rPr>
      </w:pPr>
      <w:r>
        <w:rPr>
          <w:rFonts w:hint="eastAsia"/>
          <w:color w:val="auto"/>
          <w:sz w:val="21"/>
          <w:szCs w:val="21"/>
          <w:highlight w:val="none"/>
          <w:lang w:eastAsia="zh-CN"/>
        </w:rPr>
        <w:t>（2）</w:t>
      </w:r>
      <w:r>
        <w:rPr>
          <w:color w:val="auto"/>
          <w:sz w:val="21"/>
          <w:szCs w:val="21"/>
          <w:highlight w:val="none"/>
          <w:lang w:eastAsia="zh-CN"/>
        </w:rPr>
        <w:t>以邮寄、快递方式递交质疑函的，质疑人可以在质疑有效期内通过电话</w:t>
      </w:r>
      <w:r>
        <w:rPr>
          <w:rFonts w:hint="eastAsia"/>
          <w:color w:val="auto"/>
          <w:sz w:val="21"/>
          <w:szCs w:val="21"/>
          <w:highlight w:val="none"/>
          <w:lang w:eastAsia="zh-CN"/>
        </w:rPr>
        <w:t>、邮件等</w:t>
      </w:r>
      <w:r>
        <w:rPr>
          <w:color w:val="auto"/>
          <w:sz w:val="21"/>
          <w:szCs w:val="21"/>
          <w:highlight w:val="none"/>
          <w:lang w:eastAsia="zh-CN"/>
        </w:rPr>
        <w:t>方式及时将质疑事项告知</w:t>
      </w:r>
      <w:r>
        <w:rPr>
          <w:rFonts w:hint="eastAsia"/>
          <w:color w:val="auto"/>
          <w:sz w:val="21"/>
          <w:szCs w:val="21"/>
          <w:highlight w:val="none"/>
          <w:lang w:eastAsia="zh-CN"/>
        </w:rPr>
        <w:t>广东达禾工程管理有限公司</w:t>
      </w:r>
      <w:r>
        <w:rPr>
          <w:color w:val="auto"/>
          <w:sz w:val="21"/>
          <w:szCs w:val="21"/>
          <w:highlight w:val="none"/>
          <w:lang w:eastAsia="zh-CN"/>
        </w:rPr>
        <w:t>，同时提供邮寄件、快递件的有效查询方式。递交质疑函后，质疑人可以通过电子邮件等方式将质疑函的文字内容发送至</w:t>
      </w:r>
      <w:r>
        <w:rPr>
          <w:rFonts w:hint="eastAsia"/>
          <w:color w:val="auto"/>
          <w:sz w:val="21"/>
          <w:szCs w:val="21"/>
          <w:highlight w:val="none"/>
          <w:lang w:eastAsia="zh-CN"/>
        </w:rPr>
        <w:t>广东达禾工程管理有限公司</w:t>
      </w:r>
      <w:r>
        <w:rPr>
          <w:color w:val="auto"/>
          <w:sz w:val="21"/>
          <w:szCs w:val="21"/>
          <w:highlight w:val="none"/>
          <w:lang w:eastAsia="zh-CN"/>
        </w:rPr>
        <w:t>电子邮箱（gddhzb@163.com）。</w:t>
      </w:r>
    </w:p>
    <w:p>
      <w:pPr>
        <w:pStyle w:val="126"/>
        <w:numPr>
          <w:ilvl w:val="0"/>
          <w:numId w:val="19"/>
        </w:numPr>
        <w:spacing w:beforeLines="50" w:afterLines="50"/>
        <w:outlineLvl w:val="2"/>
        <w:rPr>
          <w:rFonts w:ascii="宋体" w:hAnsi="宋体"/>
          <w:b/>
          <w:bCs/>
          <w:color w:val="auto"/>
          <w:highlight w:val="none"/>
        </w:rPr>
      </w:pPr>
      <w:r>
        <w:rPr>
          <w:rFonts w:hint="eastAsia" w:ascii="宋体" w:hAnsi="宋体"/>
          <w:b/>
          <w:bCs/>
          <w:color w:val="auto"/>
          <w:highlight w:val="none"/>
        </w:rPr>
        <w:t>投诉</w:t>
      </w:r>
    </w:p>
    <w:p>
      <w:pPr>
        <w:pStyle w:val="2"/>
        <w:ind w:firstLine="420" w:firstLineChars="200"/>
        <w:rPr>
          <w:rFonts w:ascii="宋体" w:hAnsi="宋体"/>
          <w:color w:val="auto"/>
          <w:szCs w:val="20"/>
          <w:highlight w:val="none"/>
        </w:rPr>
      </w:pPr>
      <w:r>
        <w:rPr>
          <w:rFonts w:hint="eastAsia" w:ascii="宋体" w:hAnsi="宋体"/>
          <w:color w:val="auto"/>
          <w:szCs w:val="20"/>
          <w:highlight w:val="none"/>
        </w:rPr>
        <w:t>质疑人对采购人或采购代理机构的质疑答复不满意或在规定时间内未得到答复的，可以在答复期满后15个工作日内，向本项目采购人提起投诉，联系方式见《磋商邀请》中“采购人的名称、地址和联系方式”。</w:t>
      </w:r>
    </w:p>
    <w:p>
      <w:pPr>
        <w:pStyle w:val="4"/>
        <w:numPr>
          <w:ilvl w:val="0"/>
          <w:numId w:val="15"/>
        </w:numPr>
        <w:spacing w:before="120" w:after="120"/>
        <w:ind w:left="0" w:firstLine="0"/>
        <w:rPr>
          <w:rFonts w:ascii="宋体" w:hAnsi="宋体"/>
          <w:color w:val="auto"/>
          <w:sz w:val="21"/>
          <w:szCs w:val="21"/>
          <w:highlight w:val="none"/>
        </w:rPr>
      </w:pPr>
      <w:bookmarkStart w:id="41" w:name="_Toc104040695"/>
      <w:r>
        <w:rPr>
          <w:rFonts w:hint="eastAsia" w:ascii="宋体" w:hAnsi="宋体"/>
          <w:color w:val="auto"/>
          <w:sz w:val="21"/>
          <w:szCs w:val="21"/>
          <w:highlight w:val="none"/>
        </w:rPr>
        <w:t>合同签订和履行</w:t>
      </w:r>
      <w:bookmarkEnd w:id="41"/>
    </w:p>
    <w:p>
      <w:pPr>
        <w:pStyle w:val="126"/>
        <w:numPr>
          <w:ilvl w:val="0"/>
          <w:numId w:val="20"/>
        </w:numPr>
        <w:spacing w:beforeLines="50" w:afterLines="50"/>
        <w:outlineLvl w:val="2"/>
        <w:rPr>
          <w:rFonts w:ascii="宋体" w:hAnsi="宋体"/>
          <w:b/>
          <w:bCs/>
          <w:color w:val="auto"/>
          <w:highlight w:val="none"/>
        </w:rPr>
      </w:pPr>
      <w:r>
        <w:rPr>
          <w:rFonts w:hint="eastAsia" w:ascii="宋体" w:hAnsi="宋体"/>
          <w:b/>
          <w:bCs/>
          <w:color w:val="auto"/>
          <w:highlight w:val="none"/>
        </w:rPr>
        <w:t>合同签订</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w:t>
      </w:r>
      <w:r>
        <w:rPr>
          <w:rFonts w:ascii="宋体" w:hAnsi="宋体"/>
          <w:color w:val="auto"/>
          <w:szCs w:val="20"/>
          <w:highlight w:val="none"/>
        </w:rPr>
        <w:t>.1</w:t>
      </w:r>
      <w:r>
        <w:rPr>
          <w:rFonts w:hint="eastAsia" w:ascii="宋体" w:hAnsi="宋体"/>
          <w:color w:val="auto"/>
          <w:szCs w:val="20"/>
          <w:highlight w:val="none"/>
        </w:rPr>
        <w:t>采购人应当自《成交通知书》发出之日起三十日内，按照磋商文件和成交供应商响应文件的约定，与成交供应商签订合同。所签订的合同不得对磋商文件和成交供应商响应文件作实质性修改。</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w:t>
      </w:r>
      <w:r>
        <w:rPr>
          <w:rFonts w:ascii="宋体" w:hAnsi="宋体"/>
          <w:color w:val="auto"/>
          <w:szCs w:val="20"/>
          <w:highlight w:val="none"/>
        </w:rPr>
        <w:t>.2</w:t>
      </w:r>
      <w:r>
        <w:rPr>
          <w:rFonts w:hint="eastAsia" w:ascii="宋体" w:hAnsi="宋体"/>
          <w:color w:val="auto"/>
          <w:szCs w:val="20"/>
          <w:highlight w:val="none"/>
        </w:rPr>
        <w:t>采购人不得提出试用合格等任何不合理的要求作为签订合同的条件，且不得与成交供应商私下订立背离合同实质性内容的协议。</w:t>
      </w:r>
    </w:p>
    <w:p>
      <w:pPr>
        <w:pStyle w:val="126"/>
        <w:numPr>
          <w:ilvl w:val="0"/>
          <w:numId w:val="20"/>
        </w:numPr>
        <w:spacing w:beforeLines="50" w:afterLines="50"/>
        <w:outlineLvl w:val="2"/>
        <w:rPr>
          <w:rFonts w:ascii="宋体" w:hAnsi="宋体"/>
          <w:b/>
          <w:bCs/>
          <w:color w:val="auto"/>
          <w:highlight w:val="none"/>
        </w:rPr>
      </w:pPr>
      <w:r>
        <w:rPr>
          <w:rFonts w:hint="eastAsia" w:ascii="宋体" w:hAnsi="宋体"/>
          <w:b/>
          <w:bCs/>
          <w:color w:val="auto"/>
          <w:highlight w:val="none"/>
        </w:rPr>
        <w:t>合同的履行</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.1</w:t>
      </w:r>
      <w:r>
        <w:rPr>
          <w:rFonts w:hint="eastAsia" w:ascii="宋体" w:hAnsi="宋体"/>
          <w:color w:val="auto"/>
          <w:szCs w:val="20"/>
          <w:highlight w:val="none"/>
        </w:rPr>
        <w:t>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.2</w:t>
      </w:r>
      <w:r>
        <w:rPr>
          <w:rFonts w:hint="eastAsia" w:ascii="宋体" w:hAnsi="宋体"/>
          <w:color w:val="auto"/>
          <w:szCs w:val="20"/>
          <w:highlight w:val="none"/>
        </w:rPr>
        <w:t>采购合同履行中，采购人需追加与合同标的相同的货物、工程或者服务的，在不改变合同其他条款的前提下，可以与成交供应商签订补充合同，但所补充合同的采购金额不得超过原采购金额的10%。</w:t>
      </w:r>
    </w:p>
    <w:p>
      <w:pPr>
        <w:pStyle w:val="2"/>
        <w:ind w:firstLine="420" w:firstLineChars="200"/>
        <w:rPr>
          <w:rFonts w:ascii="宋体" w:hAnsi="宋体"/>
          <w:color w:val="auto"/>
          <w:szCs w:val="20"/>
          <w:highlight w:val="none"/>
        </w:rPr>
      </w:pPr>
    </w:p>
    <w:bookmarkEnd w:id="15"/>
    <w:p>
      <w:pPr>
        <w:rPr>
          <w:rFonts w:ascii="宋体" w:hAnsi="宋体"/>
          <w:b/>
          <w:bCs/>
          <w:color w:val="auto"/>
          <w:kern w:val="44"/>
          <w:sz w:val="36"/>
          <w:szCs w:val="36"/>
          <w:highlight w:val="none"/>
        </w:rPr>
      </w:pPr>
      <w:bookmarkStart w:id="42" w:name="_Toc50864444"/>
      <w:bookmarkStart w:id="43" w:name="_Toc35342046"/>
      <w:bookmarkStart w:id="44" w:name="_Toc103033213"/>
      <w:bookmarkStart w:id="45" w:name="_Toc102936912"/>
      <w:bookmarkStart w:id="46" w:name="_Toc67046845"/>
      <w:r>
        <w:rPr>
          <w:rFonts w:ascii="宋体" w:hAnsi="宋体"/>
          <w:color w:val="auto"/>
          <w:sz w:val="36"/>
          <w:szCs w:val="36"/>
          <w:highlight w:val="none"/>
        </w:rPr>
        <w:br w:type="page"/>
      </w:r>
    </w:p>
    <w:p>
      <w:pPr>
        <w:pStyle w:val="3"/>
        <w:rPr>
          <w:color w:val="auto"/>
          <w:highlight w:val="none"/>
        </w:rPr>
      </w:pPr>
      <w:bookmarkStart w:id="47" w:name="_Toc103216636"/>
      <w:bookmarkStart w:id="48" w:name="_Toc104040696"/>
      <w:bookmarkStart w:id="49" w:name="_Toc114516596"/>
      <w:r>
        <w:rPr>
          <w:rFonts w:hint="eastAsia"/>
          <w:color w:val="auto"/>
          <w:highlight w:val="none"/>
        </w:rPr>
        <w:t>第四章 评审</w:t>
      </w:r>
      <w:bookmarkEnd w:id="42"/>
      <w:bookmarkEnd w:id="43"/>
      <w:bookmarkEnd w:id="44"/>
      <w:bookmarkEnd w:id="45"/>
      <w:bookmarkEnd w:id="47"/>
      <w:bookmarkEnd w:id="48"/>
      <w:bookmarkEnd w:id="49"/>
    </w:p>
    <w:p>
      <w:pPr>
        <w:pStyle w:val="4"/>
        <w:numPr>
          <w:ilvl w:val="0"/>
          <w:numId w:val="21"/>
        </w:numPr>
        <w:spacing w:before="120" w:after="120"/>
        <w:rPr>
          <w:rFonts w:ascii="宋体" w:hAnsi="宋体"/>
          <w:color w:val="auto"/>
          <w:sz w:val="21"/>
          <w:szCs w:val="21"/>
          <w:highlight w:val="none"/>
        </w:rPr>
      </w:pPr>
      <w:bookmarkStart w:id="50" w:name="_Toc104040697"/>
      <w:r>
        <w:rPr>
          <w:rFonts w:hint="eastAsia" w:ascii="宋体" w:hAnsi="宋体"/>
          <w:color w:val="auto"/>
          <w:sz w:val="21"/>
          <w:szCs w:val="21"/>
          <w:highlight w:val="none"/>
        </w:rPr>
        <w:t>评审要求</w:t>
      </w:r>
      <w:bookmarkEnd w:id="50"/>
    </w:p>
    <w:p>
      <w:pPr>
        <w:pStyle w:val="126"/>
        <w:numPr>
          <w:ilvl w:val="0"/>
          <w:numId w:val="22"/>
        </w:numPr>
        <w:spacing w:beforeLines="50" w:afterLines="50"/>
        <w:outlineLvl w:val="2"/>
        <w:rPr>
          <w:rFonts w:ascii="宋体" w:hAnsi="宋体"/>
          <w:b/>
          <w:bCs/>
          <w:color w:val="auto"/>
          <w:highlight w:val="none"/>
        </w:rPr>
      </w:pPr>
      <w:r>
        <w:rPr>
          <w:rFonts w:hint="eastAsia" w:ascii="宋体" w:hAnsi="宋体"/>
          <w:b/>
          <w:bCs/>
          <w:color w:val="auto"/>
          <w:highlight w:val="none"/>
        </w:rPr>
        <w:t>评审方法</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综合评分法,是指响应文件满足磋商文件全部实质性要求，且按照评审因素的量化指标评审得分最高的供应商为成交候选人的评标方法。（最低报价不是成交的唯一依据。）</w:t>
      </w:r>
    </w:p>
    <w:p>
      <w:pPr>
        <w:pStyle w:val="126"/>
        <w:numPr>
          <w:ilvl w:val="0"/>
          <w:numId w:val="22"/>
        </w:numPr>
        <w:spacing w:beforeLines="50" w:afterLines="50"/>
        <w:outlineLvl w:val="2"/>
        <w:rPr>
          <w:rFonts w:ascii="宋体" w:hAnsi="宋体"/>
          <w:b/>
          <w:bCs/>
          <w:color w:val="auto"/>
          <w:highlight w:val="none"/>
        </w:rPr>
      </w:pPr>
      <w:r>
        <w:rPr>
          <w:rFonts w:hint="eastAsia" w:ascii="宋体" w:hAnsi="宋体"/>
          <w:b/>
          <w:bCs/>
          <w:color w:val="auto"/>
          <w:highlight w:val="none"/>
        </w:rPr>
        <w:t>评审原则</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.1</w:t>
      </w:r>
      <w:r>
        <w:rPr>
          <w:rFonts w:hint="eastAsia" w:ascii="宋体" w:hAnsi="宋体"/>
          <w:bCs/>
          <w:color w:val="auto"/>
          <w:szCs w:val="21"/>
          <w:highlight w:val="none"/>
        </w:rPr>
        <w:t>评审活动遵循公平、公正、科学和择优的原则，以磋商文件和响应文件为评审的基本依据，并按照磋商文件规定的评审方法和评审标准进行评审。</w:t>
      </w:r>
    </w:p>
    <w:p>
      <w:pPr>
        <w:ind w:firstLine="420" w:firstLineChars="200"/>
        <w:jc w:val="left"/>
        <w:rPr>
          <w:rFonts w:ascii="宋体" w:hAnsi="宋体"/>
          <w:bCs/>
          <w:color w:val="auto"/>
          <w:szCs w:val="21"/>
          <w:highlight w:val="none"/>
        </w:rPr>
      </w:pPr>
      <w:r>
        <w:rPr>
          <w:rFonts w:ascii="宋体" w:hAnsi="宋体"/>
          <w:bCs/>
          <w:color w:val="auto"/>
          <w:szCs w:val="21"/>
          <w:highlight w:val="none"/>
        </w:rPr>
        <w:t>2.2</w:t>
      </w:r>
      <w:r>
        <w:rPr>
          <w:rFonts w:hint="eastAsia" w:ascii="宋体" w:hAnsi="宋体"/>
          <w:bCs/>
          <w:color w:val="auto"/>
          <w:szCs w:val="21"/>
          <w:highlight w:val="none"/>
        </w:rPr>
        <w:t>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126"/>
        <w:numPr>
          <w:ilvl w:val="0"/>
          <w:numId w:val="22"/>
        </w:numPr>
        <w:spacing w:beforeLines="50" w:afterLines="50"/>
        <w:outlineLvl w:val="2"/>
        <w:rPr>
          <w:rFonts w:ascii="宋体" w:hAnsi="宋体"/>
          <w:b/>
          <w:bCs/>
          <w:color w:val="auto"/>
          <w:highlight w:val="none"/>
        </w:rPr>
      </w:pPr>
      <w:r>
        <w:rPr>
          <w:rFonts w:hint="eastAsia" w:ascii="宋体" w:hAnsi="宋体"/>
          <w:b/>
          <w:bCs/>
          <w:color w:val="auto"/>
          <w:highlight w:val="none"/>
        </w:rPr>
        <w:t>磋商小组</w:t>
      </w:r>
    </w:p>
    <w:p>
      <w:pPr>
        <w:pStyle w:val="126"/>
        <w:ind w:firstLineChars="200"/>
        <w:jc w:val="left"/>
        <w:rPr>
          <w:rFonts w:ascii="宋体" w:hAnsi="宋体"/>
          <w:bCs/>
          <w:color w:val="auto"/>
          <w:szCs w:val="21"/>
          <w:highlight w:val="none"/>
        </w:rPr>
      </w:pPr>
      <w:r>
        <w:rPr>
          <w:rFonts w:hint="cs" w:ascii="宋体" w:hAnsi="宋体"/>
          <w:bCs/>
          <w:color w:val="auto"/>
          <w:szCs w:val="21"/>
          <w:highlight w:val="none"/>
        </w:rPr>
        <w:t>3</w:t>
      </w:r>
      <w:r>
        <w:rPr>
          <w:rFonts w:ascii="宋体" w:hAnsi="宋体"/>
          <w:bCs/>
          <w:color w:val="auto"/>
          <w:szCs w:val="21"/>
          <w:highlight w:val="none"/>
        </w:rPr>
        <w:t>.1</w:t>
      </w:r>
      <w:r>
        <w:rPr>
          <w:rFonts w:hint="eastAsia" w:ascii="宋体" w:hAnsi="宋体"/>
          <w:bCs/>
          <w:color w:val="auto"/>
          <w:szCs w:val="21"/>
          <w:highlight w:val="none"/>
        </w:rPr>
        <w:t>磋商小组由采购人代表和评审专家组成，成员人数应当为3人及以上单数，其中技术、经济等方面的评审专家不得少于成员总数的三分之二。</w:t>
      </w:r>
    </w:p>
    <w:p>
      <w:pPr>
        <w:pStyle w:val="126"/>
        <w:ind w:firstLineChars="200"/>
        <w:jc w:val="left"/>
        <w:rPr>
          <w:rFonts w:ascii="宋体" w:hAnsi="宋体"/>
          <w:bCs/>
          <w:color w:val="auto"/>
          <w:szCs w:val="21"/>
          <w:highlight w:val="none"/>
        </w:rPr>
      </w:pPr>
      <w:r>
        <w:rPr>
          <w:rFonts w:ascii="宋体" w:hAnsi="宋体"/>
          <w:bCs/>
          <w:color w:val="auto"/>
          <w:szCs w:val="21"/>
          <w:highlight w:val="none"/>
        </w:rPr>
        <w:t>3.2</w:t>
      </w:r>
      <w:r>
        <w:rPr>
          <w:rFonts w:hint="eastAsia" w:ascii="宋体" w:hAnsi="宋体"/>
          <w:bCs/>
          <w:color w:val="auto"/>
          <w:szCs w:val="21"/>
          <w:highlight w:val="none"/>
        </w:rPr>
        <w:t>评审应遵守下列评审纪律：</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（1）评审情况不得私自外泄，有关信息由广东达禾工程管理有限公司统一对外发布。</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（2）对广东达禾工程管理有限公司或供应商提供的要求保密的资料，不得摘记翻印和外传。</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（3）不得收受响应供应商或有关人员的任何礼物，不得串联鼓动其他人袒护某供应商。若与供应商存在利害关系，则应主动声明并回避。</w:t>
      </w:r>
    </w:p>
    <w:p>
      <w:pPr>
        <w:pStyle w:val="2"/>
        <w:ind w:firstLine="420" w:firstLineChars="200"/>
        <w:rPr>
          <w:rFonts w:ascii="宋体" w:hAnsi="宋体"/>
          <w:color w:val="auto"/>
          <w:szCs w:val="20"/>
          <w:highlight w:val="none"/>
        </w:rPr>
      </w:pPr>
      <w:r>
        <w:rPr>
          <w:rFonts w:hint="eastAsia" w:ascii="宋体" w:hAnsi="宋体"/>
          <w:color w:val="auto"/>
          <w:szCs w:val="20"/>
          <w:highlight w:val="none"/>
        </w:rPr>
        <w:t>（4）全体评委应按照磋商文件规定进行评审，一切认定事项应查有实据且不得弄虚作假。</w:t>
      </w:r>
    </w:p>
    <w:p>
      <w:pPr>
        <w:pStyle w:val="2"/>
        <w:ind w:firstLine="420" w:firstLineChars="200"/>
        <w:rPr>
          <w:rFonts w:ascii="宋体" w:hAnsi="宋体"/>
          <w:color w:val="auto"/>
          <w:szCs w:val="20"/>
          <w:highlight w:val="none"/>
        </w:rPr>
      </w:pPr>
      <w:r>
        <w:rPr>
          <w:rFonts w:hint="eastAsia" w:ascii="宋体" w:hAnsi="宋体"/>
          <w:color w:val="auto"/>
          <w:szCs w:val="20"/>
          <w:highlight w:val="none"/>
        </w:rPr>
        <w:t>（5）磋商小组各成员应当独立对每个响应供应商的响应文件进行评价，并对评价意见承担个人责任。评审过程中，不得发表倾向性言论。</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※对违反评审纪律的评委，将取消其评委资格，对评审工作造成严重损失者将予以通报批评乃至追究法律责任。</w:t>
      </w:r>
    </w:p>
    <w:p>
      <w:pPr>
        <w:pStyle w:val="126"/>
        <w:numPr>
          <w:ilvl w:val="0"/>
          <w:numId w:val="22"/>
        </w:numPr>
        <w:spacing w:beforeLines="50" w:afterLines="50"/>
        <w:outlineLvl w:val="2"/>
        <w:rPr>
          <w:rFonts w:ascii="宋体" w:hAnsi="宋体"/>
          <w:b/>
          <w:bCs/>
          <w:color w:val="auto"/>
          <w:highlight w:val="none"/>
        </w:rPr>
      </w:pPr>
      <w:r>
        <w:rPr>
          <w:rFonts w:hint="eastAsia" w:ascii="宋体" w:hAnsi="宋体"/>
          <w:b/>
          <w:bCs/>
          <w:color w:val="auto"/>
          <w:highlight w:val="none"/>
        </w:rPr>
        <w:t>有下列情形之一的，视为供应商串通响应，其响应无效</w:t>
      </w:r>
    </w:p>
    <w:p>
      <w:pPr>
        <w:pStyle w:val="2"/>
        <w:ind w:left="420"/>
        <w:rPr>
          <w:rFonts w:ascii="宋体" w:hAnsi="宋体"/>
          <w:color w:val="auto"/>
          <w:szCs w:val="20"/>
          <w:highlight w:val="none"/>
        </w:rPr>
      </w:pPr>
      <w:r>
        <w:rPr>
          <w:rFonts w:hint="eastAsia" w:ascii="宋体" w:hAnsi="宋体"/>
          <w:color w:val="auto"/>
          <w:szCs w:val="20"/>
          <w:highlight w:val="none"/>
        </w:rPr>
        <w:t>4</w:t>
      </w:r>
      <w:r>
        <w:rPr>
          <w:rFonts w:ascii="宋体" w:hAnsi="宋体"/>
          <w:color w:val="auto"/>
          <w:szCs w:val="20"/>
          <w:highlight w:val="none"/>
        </w:rPr>
        <w:t>.1</w:t>
      </w:r>
      <w:r>
        <w:rPr>
          <w:rFonts w:hint="eastAsia" w:ascii="宋体" w:hAnsi="宋体"/>
          <w:color w:val="auto"/>
          <w:szCs w:val="20"/>
          <w:highlight w:val="none"/>
        </w:rPr>
        <w:t>不同供应商的响应文件由同一单位或者个人编制；</w:t>
      </w:r>
    </w:p>
    <w:p>
      <w:pPr>
        <w:pStyle w:val="2"/>
        <w:ind w:left="420"/>
        <w:rPr>
          <w:rFonts w:ascii="宋体" w:hAnsi="宋体"/>
          <w:color w:val="auto"/>
          <w:szCs w:val="20"/>
          <w:highlight w:val="none"/>
        </w:rPr>
      </w:pPr>
      <w:r>
        <w:rPr>
          <w:rFonts w:ascii="宋体" w:hAnsi="宋体"/>
          <w:color w:val="auto"/>
          <w:szCs w:val="20"/>
          <w:highlight w:val="none"/>
        </w:rPr>
        <w:t>4.2</w:t>
      </w:r>
      <w:r>
        <w:rPr>
          <w:rFonts w:hint="eastAsia" w:ascii="宋体" w:hAnsi="宋体"/>
          <w:color w:val="auto"/>
          <w:szCs w:val="20"/>
          <w:highlight w:val="none"/>
        </w:rPr>
        <w:t>不同供应商委托同一单位或者个人办理响应事宜；</w:t>
      </w:r>
    </w:p>
    <w:p>
      <w:pPr>
        <w:pStyle w:val="2"/>
        <w:ind w:left="420"/>
        <w:rPr>
          <w:rFonts w:ascii="宋体" w:hAnsi="宋体"/>
          <w:color w:val="auto"/>
          <w:szCs w:val="20"/>
          <w:highlight w:val="none"/>
        </w:rPr>
      </w:pPr>
      <w:r>
        <w:rPr>
          <w:rFonts w:hint="eastAsia" w:ascii="宋体" w:hAnsi="宋体"/>
          <w:color w:val="auto"/>
          <w:szCs w:val="20"/>
          <w:highlight w:val="none"/>
        </w:rPr>
        <w:t>4</w:t>
      </w:r>
      <w:r>
        <w:rPr>
          <w:rFonts w:ascii="宋体" w:hAnsi="宋体"/>
          <w:color w:val="auto"/>
          <w:szCs w:val="20"/>
          <w:highlight w:val="none"/>
        </w:rPr>
        <w:t>.3</w:t>
      </w:r>
      <w:r>
        <w:rPr>
          <w:rFonts w:hint="eastAsia" w:ascii="宋体" w:hAnsi="宋体"/>
          <w:color w:val="auto"/>
          <w:szCs w:val="20"/>
          <w:highlight w:val="none"/>
        </w:rPr>
        <w:t>不同供应商的响应文件载明的项目管理成员或者联系人员为同一人；</w:t>
      </w:r>
    </w:p>
    <w:p>
      <w:pPr>
        <w:pStyle w:val="2"/>
        <w:ind w:left="420"/>
        <w:rPr>
          <w:rFonts w:ascii="宋体" w:hAnsi="宋体"/>
          <w:color w:val="auto"/>
          <w:szCs w:val="20"/>
          <w:highlight w:val="none"/>
        </w:rPr>
      </w:pPr>
      <w:r>
        <w:rPr>
          <w:rFonts w:ascii="宋体" w:hAnsi="宋体"/>
          <w:color w:val="auto"/>
          <w:szCs w:val="20"/>
          <w:highlight w:val="none"/>
        </w:rPr>
        <w:t>4.4</w:t>
      </w:r>
      <w:r>
        <w:rPr>
          <w:rFonts w:hint="eastAsia" w:ascii="宋体" w:hAnsi="宋体"/>
          <w:color w:val="auto"/>
          <w:szCs w:val="20"/>
          <w:highlight w:val="none"/>
        </w:rPr>
        <w:t>不同供应商的响应文件异常一致或者响应报价呈规律性差异；</w:t>
      </w:r>
    </w:p>
    <w:p>
      <w:pPr>
        <w:pStyle w:val="2"/>
        <w:ind w:left="420"/>
        <w:rPr>
          <w:rFonts w:ascii="宋体" w:hAnsi="宋体"/>
          <w:color w:val="auto"/>
          <w:szCs w:val="20"/>
          <w:highlight w:val="none"/>
        </w:rPr>
      </w:pPr>
      <w:r>
        <w:rPr>
          <w:rFonts w:ascii="宋体" w:hAnsi="宋体"/>
          <w:color w:val="auto"/>
          <w:szCs w:val="20"/>
          <w:highlight w:val="none"/>
        </w:rPr>
        <w:t>4.5</w:t>
      </w:r>
      <w:r>
        <w:rPr>
          <w:rFonts w:hint="eastAsia" w:ascii="宋体" w:hAnsi="宋体"/>
          <w:color w:val="auto"/>
          <w:szCs w:val="20"/>
          <w:highlight w:val="none"/>
        </w:rPr>
        <w:t>不同供应商的响应文件相互混装；</w:t>
      </w:r>
    </w:p>
    <w:p>
      <w:pPr>
        <w:pStyle w:val="2"/>
        <w:ind w:left="420"/>
        <w:rPr>
          <w:rFonts w:ascii="宋体" w:hAnsi="宋体"/>
          <w:color w:val="auto"/>
          <w:szCs w:val="20"/>
          <w:highlight w:val="none"/>
        </w:rPr>
      </w:pPr>
      <w:r>
        <w:rPr>
          <w:rFonts w:ascii="宋体" w:hAnsi="宋体"/>
          <w:color w:val="auto"/>
          <w:szCs w:val="20"/>
          <w:highlight w:val="none"/>
        </w:rPr>
        <w:t>4.6</w:t>
      </w:r>
      <w:r>
        <w:rPr>
          <w:rFonts w:hint="eastAsia" w:ascii="宋体" w:hAnsi="宋体"/>
          <w:color w:val="auto"/>
          <w:szCs w:val="20"/>
          <w:highlight w:val="none"/>
        </w:rPr>
        <w:t>不同供应商的响应保证金或购买电子保函支付款为从同一单位或个人的账户转出。</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说明：在评审过程中发现供应商有上述情形的，磋商小组应当认定其响应无效。同时，项目评审时被认定为串通响应的供应商不得参加该合同项下的采购活动。</w:t>
      </w:r>
    </w:p>
    <w:p>
      <w:pPr>
        <w:pStyle w:val="126"/>
        <w:numPr>
          <w:ilvl w:val="0"/>
          <w:numId w:val="22"/>
        </w:numPr>
        <w:spacing w:beforeLines="50" w:afterLines="50"/>
        <w:outlineLvl w:val="2"/>
        <w:rPr>
          <w:rFonts w:ascii="宋体" w:hAnsi="宋体"/>
          <w:b/>
          <w:bCs/>
          <w:color w:val="auto"/>
          <w:highlight w:val="none"/>
        </w:rPr>
      </w:pPr>
      <w:r>
        <w:rPr>
          <w:rFonts w:hint="eastAsia" w:ascii="宋体" w:hAnsi="宋体"/>
          <w:b/>
          <w:bCs/>
          <w:color w:val="auto"/>
          <w:highlight w:val="none"/>
        </w:rPr>
        <w:t>有下列情形之一的，属于恶意串通响应：</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（1）供应商直接或者间接从采购人或者采购代理机构处获得其他供应商的相关情况并修改其响应文件；</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（2）供应商按照采购人或者采购代理机构的授意撤换、修改响应文件；</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（3）供应商之间协商报价、技术方案等响应文件的实质性内容；</w:t>
      </w:r>
    </w:p>
    <w:p>
      <w:pPr>
        <w:pStyle w:val="2"/>
        <w:ind w:firstLine="420" w:firstLineChars="200"/>
        <w:rPr>
          <w:rFonts w:ascii="宋体" w:hAnsi="宋体"/>
          <w:color w:val="auto"/>
          <w:szCs w:val="20"/>
          <w:highlight w:val="none"/>
        </w:rPr>
      </w:pPr>
      <w:r>
        <w:rPr>
          <w:rFonts w:hint="eastAsia" w:ascii="宋体" w:hAnsi="宋体"/>
          <w:color w:val="auto"/>
          <w:szCs w:val="20"/>
          <w:highlight w:val="none"/>
        </w:rPr>
        <w:t>（4）属于同一集团、协会、商会等组织成员的供应商按照该组织要求协同参加采购活动；</w:t>
      </w:r>
    </w:p>
    <w:p>
      <w:pPr>
        <w:pStyle w:val="2"/>
        <w:ind w:firstLine="420" w:firstLineChars="200"/>
        <w:rPr>
          <w:rFonts w:ascii="宋体" w:hAnsi="宋体"/>
          <w:color w:val="auto"/>
          <w:szCs w:val="20"/>
          <w:highlight w:val="none"/>
        </w:rPr>
      </w:pPr>
      <w:r>
        <w:rPr>
          <w:rFonts w:hint="eastAsia" w:ascii="宋体" w:hAnsi="宋体"/>
          <w:color w:val="auto"/>
          <w:szCs w:val="20"/>
          <w:highlight w:val="none"/>
        </w:rPr>
        <w:t>（5）供应商之间事先约定由某一特定供应商成交；</w:t>
      </w:r>
    </w:p>
    <w:p>
      <w:pPr>
        <w:pStyle w:val="2"/>
        <w:ind w:firstLine="420" w:firstLineChars="200"/>
        <w:rPr>
          <w:rFonts w:ascii="宋体" w:hAnsi="宋体"/>
          <w:color w:val="auto"/>
          <w:szCs w:val="20"/>
          <w:highlight w:val="none"/>
        </w:rPr>
      </w:pPr>
      <w:r>
        <w:rPr>
          <w:rFonts w:hint="eastAsia" w:ascii="宋体" w:hAnsi="宋体"/>
          <w:color w:val="auto"/>
          <w:szCs w:val="20"/>
          <w:highlight w:val="none"/>
        </w:rPr>
        <w:t>（6）供应商之间商定部分供应商放弃参加采购活动或者放弃成交；</w:t>
      </w:r>
    </w:p>
    <w:p>
      <w:pPr>
        <w:pStyle w:val="2"/>
        <w:ind w:firstLine="420" w:firstLineChars="200"/>
        <w:rPr>
          <w:rFonts w:ascii="宋体" w:hAnsi="宋体"/>
          <w:color w:val="auto"/>
          <w:szCs w:val="20"/>
          <w:highlight w:val="none"/>
        </w:rPr>
      </w:pPr>
      <w:r>
        <w:rPr>
          <w:rFonts w:hint="eastAsia" w:ascii="宋体" w:hAnsi="宋体"/>
          <w:color w:val="auto"/>
          <w:szCs w:val="20"/>
          <w:highlight w:val="none"/>
        </w:rPr>
        <w:t>（7）供应商与采购人或者采购代理机构之间、供应商相互之间，为谋求特定供应商成交或者排斥其他供应商的其他串通行为。</w:t>
      </w:r>
    </w:p>
    <w:p>
      <w:pPr>
        <w:pStyle w:val="126"/>
        <w:numPr>
          <w:ilvl w:val="0"/>
          <w:numId w:val="22"/>
        </w:numPr>
        <w:spacing w:beforeLines="50" w:afterLines="50"/>
        <w:outlineLvl w:val="2"/>
        <w:rPr>
          <w:rFonts w:ascii="宋体" w:hAnsi="宋体"/>
          <w:b/>
          <w:bCs/>
          <w:color w:val="auto"/>
          <w:highlight w:val="none"/>
        </w:rPr>
      </w:pPr>
      <w:r>
        <w:rPr>
          <w:rFonts w:hint="eastAsia" w:ascii="宋体" w:hAnsi="宋体"/>
          <w:b/>
          <w:bCs/>
          <w:color w:val="auto"/>
          <w:highlight w:val="none"/>
        </w:rPr>
        <w:t>其他响应无效的情形</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详见资格性审查、符合性审查和磋商文件其他响应无效条款。</w:t>
      </w:r>
    </w:p>
    <w:p>
      <w:pPr>
        <w:pStyle w:val="126"/>
        <w:numPr>
          <w:ilvl w:val="0"/>
          <w:numId w:val="22"/>
        </w:numPr>
        <w:spacing w:beforeLines="50" w:afterLines="50"/>
        <w:outlineLvl w:val="2"/>
        <w:rPr>
          <w:rFonts w:ascii="宋体" w:hAnsi="宋体"/>
          <w:b/>
          <w:bCs/>
          <w:color w:val="auto"/>
          <w:highlight w:val="none"/>
        </w:rPr>
      </w:pPr>
      <w:r>
        <w:rPr>
          <w:rFonts w:hint="eastAsia" w:ascii="宋体" w:hAnsi="宋体"/>
          <w:b/>
          <w:bCs/>
          <w:color w:val="auto"/>
          <w:highlight w:val="none"/>
        </w:rPr>
        <w:t>终止竞争性磋商采购活动的情形</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出现下列情形之一的，采购人或者采购代理机构应当终止竞争性磋商采购活动，发布项目终止公告并说明原因，重新开展采购活动：</w:t>
      </w:r>
    </w:p>
    <w:p>
      <w:pPr>
        <w:pStyle w:val="126"/>
        <w:ind w:firstLineChars="200"/>
        <w:jc w:val="left"/>
        <w:rPr>
          <w:rFonts w:ascii="宋体" w:hAnsi="宋体"/>
          <w:bCs/>
          <w:color w:val="auto"/>
          <w:szCs w:val="21"/>
          <w:highlight w:val="none"/>
        </w:rPr>
      </w:pPr>
      <w:r>
        <w:rPr>
          <w:rFonts w:hint="eastAsia" w:ascii="宋体" w:hAnsi="宋体"/>
          <w:bCs/>
          <w:color w:val="auto"/>
          <w:szCs w:val="21"/>
          <w:highlight w:val="none"/>
          <w:lang w:eastAsia="zh-CN"/>
        </w:rPr>
        <w:t>（1）</w:t>
      </w:r>
      <w:r>
        <w:rPr>
          <w:rFonts w:hint="eastAsia" w:ascii="宋体" w:hAnsi="宋体"/>
          <w:bCs/>
          <w:color w:val="auto"/>
          <w:szCs w:val="21"/>
          <w:highlight w:val="none"/>
        </w:rPr>
        <w:t>因情况变化，不再符合规定的竞争性磋商采购方式适用情形的；</w:t>
      </w:r>
    </w:p>
    <w:p>
      <w:pPr>
        <w:pStyle w:val="126"/>
        <w:ind w:firstLineChars="200"/>
        <w:jc w:val="left"/>
        <w:rPr>
          <w:rFonts w:ascii="宋体" w:hAnsi="宋体"/>
          <w:bCs/>
          <w:color w:val="auto"/>
          <w:szCs w:val="21"/>
          <w:highlight w:val="none"/>
        </w:rPr>
      </w:pPr>
      <w:r>
        <w:rPr>
          <w:rFonts w:hint="eastAsia" w:ascii="宋体" w:hAnsi="宋体"/>
          <w:bCs/>
          <w:color w:val="auto"/>
          <w:szCs w:val="21"/>
          <w:highlight w:val="none"/>
          <w:lang w:eastAsia="zh-CN"/>
        </w:rPr>
        <w:t>（2）</w:t>
      </w:r>
      <w:r>
        <w:rPr>
          <w:rFonts w:hint="eastAsia" w:ascii="宋体" w:hAnsi="宋体"/>
          <w:bCs/>
          <w:color w:val="auto"/>
          <w:szCs w:val="21"/>
          <w:highlight w:val="none"/>
        </w:rPr>
        <w:t>出现影响采购公正的违法、违规行为的；</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（3）除《政府采购竞争性磋商采购方式暂行办法》第二十一条第三款，《财政部关于政府采购竞争性磋商采购方式管理暂行办法有关问题的补充通知》（财库〔2015〕124号）规定的情形外 ，在采购过程中符合要求的供应商或者报价未超过采购预算的供应商不足3家的；</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（4）法律、法规以及磋商文件规定其他情形。</w:t>
      </w:r>
    </w:p>
    <w:p>
      <w:pPr>
        <w:pStyle w:val="126"/>
        <w:numPr>
          <w:ilvl w:val="0"/>
          <w:numId w:val="22"/>
        </w:numPr>
        <w:spacing w:beforeLines="50" w:afterLines="50"/>
        <w:outlineLvl w:val="2"/>
        <w:rPr>
          <w:rFonts w:ascii="宋体" w:hAnsi="宋体"/>
          <w:b/>
          <w:bCs/>
          <w:color w:val="auto"/>
          <w:highlight w:val="none"/>
        </w:rPr>
      </w:pPr>
      <w:r>
        <w:rPr>
          <w:rFonts w:hint="eastAsia" w:ascii="宋体" w:hAnsi="宋体"/>
          <w:b/>
          <w:bCs/>
          <w:color w:val="auto"/>
          <w:highlight w:val="none"/>
        </w:rPr>
        <w:t>确定成交供应商</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磋商小组按照磋商文件确定的评审方法、步骤、标准，对响应文件进行评审。评审结束后，对供应商的评审名次进行排序，确定成交供应商或者推荐成交候选供应商。</w:t>
      </w:r>
    </w:p>
    <w:p>
      <w:pPr>
        <w:pStyle w:val="126"/>
        <w:numPr>
          <w:ilvl w:val="0"/>
          <w:numId w:val="22"/>
        </w:numPr>
        <w:spacing w:beforeLines="50" w:afterLines="50"/>
        <w:outlineLvl w:val="2"/>
        <w:rPr>
          <w:rFonts w:ascii="宋体" w:hAnsi="宋体"/>
          <w:b/>
          <w:bCs/>
          <w:color w:val="auto"/>
          <w:highlight w:val="none"/>
        </w:rPr>
      </w:pPr>
      <w:r>
        <w:rPr>
          <w:rFonts w:hint="eastAsia" w:ascii="宋体" w:hAnsi="宋体"/>
          <w:b/>
          <w:bCs/>
          <w:color w:val="auto"/>
          <w:highlight w:val="none"/>
        </w:rPr>
        <w:t>价格修正</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对报价的计算错误按以下原则修正：</w:t>
      </w:r>
    </w:p>
    <w:p>
      <w:pPr>
        <w:pStyle w:val="126"/>
        <w:ind w:firstLineChars="200"/>
        <w:jc w:val="left"/>
        <w:rPr>
          <w:rFonts w:ascii="宋体" w:hAnsi="宋体"/>
          <w:bCs/>
          <w:color w:val="auto"/>
          <w:szCs w:val="21"/>
          <w:highlight w:val="none"/>
        </w:rPr>
      </w:pPr>
      <w:r>
        <w:rPr>
          <w:rFonts w:hint="eastAsia" w:ascii="宋体" w:hAnsi="宋体"/>
          <w:bCs/>
          <w:color w:val="auto"/>
          <w:szCs w:val="21"/>
          <w:highlight w:val="none"/>
          <w:lang w:eastAsia="zh-CN"/>
        </w:rPr>
        <w:t>（1）</w:t>
      </w:r>
      <w:r>
        <w:rPr>
          <w:rFonts w:hint="eastAsia" w:ascii="宋体" w:hAnsi="宋体"/>
          <w:bCs/>
          <w:color w:val="auto"/>
          <w:szCs w:val="21"/>
          <w:highlight w:val="none"/>
        </w:rPr>
        <w:t>响应文件中首轮报价表（报价表）内容与响应文件中相应内容不一致的，以首轮报价表（报价表）为准；</w:t>
      </w:r>
    </w:p>
    <w:p>
      <w:pPr>
        <w:pStyle w:val="126"/>
        <w:ind w:firstLineChars="200"/>
        <w:jc w:val="left"/>
        <w:rPr>
          <w:rFonts w:ascii="宋体" w:hAnsi="宋体"/>
          <w:bCs/>
          <w:color w:val="auto"/>
          <w:szCs w:val="21"/>
          <w:highlight w:val="none"/>
        </w:rPr>
      </w:pPr>
      <w:r>
        <w:rPr>
          <w:rFonts w:hint="eastAsia" w:ascii="宋体" w:hAnsi="宋体"/>
          <w:bCs/>
          <w:color w:val="auto"/>
          <w:szCs w:val="21"/>
          <w:highlight w:val="none"/>
          <w:lang w:eastAsia="zh-CN"/>
        </w:rPr>
        <w:t>（2）</w:t>
      </w:r>
      <w:r>
        <w:rPr>
          <w:rFonts w:hint="eastAsia" w:ascii="宋体" w:hAnsi="宋体"/>
          <w:bCs/>
          <w:color w:val="auto"/>
          <w:szCs w:val="21"/>
          <w:highlight w:val="none"/>
        </w:rPr>
        <w:t>大写金额和小写金额不一致的，以大写金额为准；</w:t>
      </w:r>
    </w:p>
    <w:p>
      <w:pPr>
        <w:pStyle w:val="126"/>
        <w:ind w:firstLineChars="200"/>
        <w:jc w:val="left"/>
        <w:rPr>
          <w:rFonts w:ascii="宋体" w:hAnsi="宋体"/>
          <w:bCs/>
          <w:color w:val="auto"/>
          <w:szCs w:val="21"/>
          <w:highlight w:val="none"/>
        </w:rPr>
      </w:pPr>
      <w:r>
        <w:rPr>
          <w:rFonts w:hint="eastAsia" w:ascii="宋体" w:hAnsi="宋体"/>
          <w:bCs/>
          <w:color w:val="auto"/>
          <w:szCs w:val="21"/>
          <w:highlight w:val="none"/>
          <w:lang w:eastAsia="zh-CN"/>
        </w:rPr>
        <w:t>（3）</w:t>
      </w:r>
      <w:r>
        <w:rPr>
          <w:rFonts w:hint="eastAsia" w:ascii="宋体" w:hAnsi="宋体"/>
          <w:bCs/>
          <w:color w:val="auto"/>
          <w:szCs w:val="21"/>
          <w:highlight w:val="none"/>
        </w:rPr>
        <w:t>单价金额小数点或者百分比有明显错位的，以首轮报价表的总价为准，并修改单价；</w:t>
      </w:r>
    </w:p>
    <w:p>
      <w:pPr>
        <w:pStyle w:val="126"/>
        <w:ind w:firstLineChars="200"/>
        <w:jc w:val="left"/>
        <w:rPr>
          <w:rFonts w:ascii="宋体" w:hAnsi="宋体"/>
          <w:bCs/>
          <w:color w:val="auto"/>
          <w:szCs w:val="21"/>
          <w:highlight w:val="none"/>
          <w:lang w:eastAsia="zh-CN"/>
        </w:rPr>
      </w:pPr>
      <w:r>
        <w:rPr>
          <w:rFonts w:hint="eastAsia" w:ascii="宋体" w:hAnsi="宋体"/>
          <w:bCs/>
          <w:color w:val="auto"/>
          <w:szCs w:val="21"/>
          <w:highlight w:val="none"/>
          <w:lang w:eastAsia="zh-CN"/>
        </w:rPr>
        <w:t>（4）</w:t>
      </w:r>
      <w:r>
        <w:rPr>
          <w:rFonts w:hint="eastAsia" w:ascii="宋体" w:hAnsi="宋体"/>
          <w:bCs/>
          <w:color w:val="auto"/>
          <w:szCs w:val="21"/>
          <w:highlight w:val="none"/>
        </w:rPr>
        <w:t>总价金额与按单价汇总金额不一致的，以单价金额计算结果为准。但是单价金额计算结果超过预算价的，对其按无效响应处理</w:t>
      </w:r>
      <w:r>
        <w:rPr>
          <w:rFonts w:hint="eastAsia" w:ascii="宋体" w:hAnsi="宋体"/>
          <w:bCs/>
          <w:color w:val="auto"/>
          <w:szCs w:val="21"/>
          <w:highlight w:val="none"/>
          <w:lang w:eastAsia="zh-CN"/>
        </w:rPr>
        <w:t>。</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注：</w:t>
      </w:r>
      <w:bookmarkStart w:id="51" w:name="_Hlk112011461"/>
      <w:r>
        <w:rPr>
          <w:rFonts w:hint="eastAsia" w:ascii="宋体" w:hAnsi="宋体"/>
          <w:bCs/>
          <w:color w:val="auto"/>
          <w:szCs w:val="21"/>
          <w:highlight w:val="none"/>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51"/>
      <w:r>
        <w:rPr>
          <w:rFonts w:hint="eastAsia" w:ascii="宋体" w:hAnsi="宋体"/>
          <w:bCs/>
          <w:color w:val="auto"/>
          <w:szCs w:val="21"/>
          <w:highlight w:val="none"/>
        </w:rPr>
        <w:t>。</w:t>
      </w:r>
    </w:p>
    <w:p>
      <w:pPr>
        <w:pStyle w:val="4"/>
        <w:numPr>
          <w:ilvl w:val="0"/>
          <w:numId w:val="21"/>
        </w:numPr>
        <w:spacing w:before="120" w:after="120"/>
        <w:rPr>
          <w:rFonts w:ascii="宋体" w:hAnsi="宋体"/>
          <w:color w:val="auto"/>
          <w:sz w:val="21"/>
          <w:szCs w:val="21"/>
          <w:highlight w:val="none"/>
        </w:rPr>
      </w:pPr>
      <w:bookmarkStart w:id="52" w:name="_Toc104040698"/>
      <w:r>
        <w:rPr>
          <w:rFonts w:hint="eastAsia" w:ascii="宋体" w:hAnsi="宋体"/>
          <w:color w:val="auto"/>
          <w:sz w:val="21"/>
          <w:szCs w:val="21"/>
          <w:highlight w:val="none"/>
        </w:rPr>
        <w:t>政府采购政策落实</w:t>
      </w:r>
      <w:bookmarkEnd w:id="52"/>
    </w:p>
    <w:p>
      <w:pPr>
        <w:pStyle w:val="126"/>
        <w:numPr>
          <w:ilvl w:val="1"/>
          <w:numId w:val="23"/>
        </w:numPr>
        <w:ind w:left="0" w:firstLine="0"/>
        <w:jc w:val="left"/>
        <w:outlineLvl w:val="2"/>
        <w:rPr>
          <w:rFonts w:ascii="宋体" w:hAnsi="宋体"/>
          <w:b/>
          <w:color w:val="auto"/>
          <w:szCs w:val="21"/>
          <w:highlight w:val="none"/>
        </w:rPr>
      </w:pPr>
      <w:r>
        <w:rPr>
          <w:rFonts w:hint="eastAsia" w:ascii="宋体" w:hAnsi="宋体"/>
          <w:b/>
          <w:color w:val="auto"/>
          <w:szCs w:val="21"/>
          <w:highlight w:val="none"/>
        </w:rPr>
        <w:t>节能、环境要求</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相关认证机构和获证产品信息以市场监管总局组织建立的节能产品、环境标志产品认证结果信息发布平台公布为准。</w:t>
      </w:r>
    </w:p>
    <w:p>
      <w:pPr>
        <w:pStyle w:val="126"/>
        <w:numPr>
          <w:ilvl w:val="1"/>
          <w:numId w:val="23"/>
        </w:numPr>
        <w:ind w:left="0" w:firstLine="0"/>
        <w:jc w:val="left"/>
        <w:outlineLvl w:val="2"/>
        <w:rPr>
          <w:rFonts w:ascii="宋体" w:hAnsi="宋体"/>
          <w:b/>
          <w:color w:val="auto"/>
          <w:szCs w:val="21"/>
          <w:highlight w:val="none"/>
        </w:rPr>
      </w:pPr>
      <w:r>
        <w:rPr>
          <w:rFonts w:hint="eastAsia" w:ascii="宋体" w:hAnsi="宋体"/>
          <w:b/>
          <w:color w:val="auto"/>
          <w:szCs w:val="21"/>
          <w:highlight w:val="none"/>
        </w:rPr>
        <w:t>对小型、微型企业、监狱企业或残疾人福利性单位给予价格扣除</w:t>
      </w:r>
    </w:p>
    <w:p>
      <w:pPr>
        <w:ind w:firstLine="420" w:firstLineChars="200"/>
        <w:jc w:val="left"/>
        <w:rPr>
          <w:rFonts w:ascii="宋体" w:hAnsi="宋体"/>
          <w:bCs/>
          <w:color w:val="auto"/>
          <w:szCs w:val="21"/>
          <w:highlight w:val="none"/>
        </w:rPr>
      </w:pPr>
      <w:r>
        <w:rPr>
          <w:rFonts w:hint="eastAsia" w:ascii="宋体" w:hAnsi="宋体"/>
          <w:bCs/>
          <w:color w:val="auto"/>
          <w:szCs w:val="21"/>
          <w:highlight w:val="none"/>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126"/>
        <w:numPr>
          <w:ilvl w:val="1"/>
          <w:numId w:val="23"/>
        </w:numPr>
        <w:ind w:left="0" w:firstLine="0"/>
        <w:jc w:val="left"/>
        <w:outlineLvl w:val="2"/>
        <w:rPr>
          <w:rFonts w:ascii="宋体" w:hAnsi="宋体"/>
          <w:b/>
          <w:color w:val="auto"/>
          <w:szCs w:val="21"/>
          <w:highlight w:val="none"/>
        </w:rPr>
      </w:pPr>
      <w:r>
        <w:rPr>
          <w:rFonts w:hint="eastAsia" w:ascii="宋体" w:hAnsi="宋体"/>
          <w:b/>
          <w:color w:val="auto"/>
          <w:szCs w:val="21"/>
          <w:highlight w:val="none"/>
        </w:rPr>
        <w:t>价格扣除相关要求</w:t>
      </w:r>
    </w:p>
    <w:tbl>
      <w:tblPr>
        <w:tblStyle w:val="46"/>
        <w:tblW w:w="928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48"/>
        <w:gridCol w:w="2413"/>
        <w:gridCol w:w="1394"/>
        <w:gridCol w:w="2409"/>
        <w:gridCol w:w="241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48" w:type="dxa"/>
            <w:noWrap w:val="0"/>
            <w:vAlign w:val="center"/>
          </w:tcPr>
          <w:p>
            <w:pPr>
              <w:jc w:val="center"/>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序号</w:t>
            </w:r>
          </w:p>
        </w:tc>
        <w:tc>
          <w:tcPr>
            <w:tcW w:w="2413" w:type="dxa"/>
            <w:noWrap w:val="0"/>
            <w:vAlign w:val="center"/>
          </w:tcPr>
          <w:p>
            <w:pPr>
              <w:jc w:val="center"/>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情形</w:t>
            </w:r>
          </w:p>
        </w:tc>
        <w:tc>
          <w:tcPr>
            <w:tcW w:w="1394" w:type="dxa"/>
            <w:noWrap w:val="0"/>
            <w:vAlign w:val="center"/>
          </w:tcPr>
          <w:p>
            <w:pPr>
              <w:jc w:val="center"/>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适用对象</w:t>
            </w:r>
          </w:p>
        </w:tc>
        <w:tc>
          <w:tcPr>
            <w:tcW w:w="2409" w:type="dxa"/>
            <w:noWrap w:val="0"/>
            <w:vAlign w:val="center"/>
          </w:tcPr>
          <w:p>
            <w:pPr>
              <w:jc w:val="center"/>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价格得分增加比例</w:t>
            </w:r>
          </w:p>
        </w:tc>
        <w:tc>
          <w:tcPr>
            <w:tcW w:w="2418" w:type="dxa"/>
            <w:noWrap w:val="0"/>
            <w:vAlign w:val="center"/>
          </w:tcPr>
          <w:p>
            <w:pPr>
              <w:jc w:val="center"/>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计算公式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82" w:type="dxa"/>
            <w:gridSpan w:val="5"/>
            <w:noWrap w:val="0"/>
            <w:vAlign w:val="top"/>
          </w:tcPr>
          <w:p>
            <w:pPr>
              <w:ind w:firstLine="420" w:firstLineChars="200"/>
              <w:jc w:val="left"/>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注：（1）上述评标价仅用于计算价格分，成交金额以实际投标价为准。</w:t>
            </w:r>
            <w:r>
              <w:rPr>
                <w:rFonts w:hint="eastAsia" w:ascii="宋体" w:hAnsi="宋体" w:eastAsia="宋体" w:cs="Times New Roman"/>
                <w:bCs/>
                <w:color w:val="auto"/>
                <w:szCs w:val="21"/>
                <w:highlight w:val="none"/>
              </w:rPr>
              <w:tab/>
            </w:r>
            <w:r>
              <w:rPr>
                <w:rFonts w:hint="eastAsia" w:ascii="宋体" w:hAnsi="宋体" w:eastAsia="宋体" w:cs="Times New Roman"/>
                <w:bCs/>
                <w:color w:val="auto"/>
                <w:szCs w:val="21"/>
                <w:highlight w:val="none"/>
              </w:rPr>
              <w:tab/>
            </w:r>
            <w:r>
              <w:rPr>
                <w:rFonts w:hint="eastAsia" w:ascii="宋体" w:hAnsi="宋体" w:eastAsia="宋体" w:cs="Times New Roman"/>
                <w:bCs/>
                <w:color w:val="auto"/>
                <w:szCs w:val="21"/>
                <w:highlight w:val="none"/>
              </w:rPr>
              <w:tab/>
            </w:r>
            <w:r>
              <w:rPr>
                <w:rFonts w:hint="eastAsia" w:ascii="宋体" w:hAnsi="宋体" w:eastAsia="宋体" w:cs="Times New Roman"/>
                <w:bCs/>
                <w:color w:val="auto"/>
                <w:szCs w:val="21"/>
                <w:highlight w:val="none"/>
              </w:rPr>
              <w:t xml:space="preserve"> （2）组成联合体的大中型企业和其他自然人、法人或者其他组织、与小型、微型企业之间不得存在投资关系。</w:t>
            </w:r>
          </w:p>
        </w:tc>
      </w:tr>
    </w:tbl>
    <w:p>
      <w:pPr>
        <w:pStyle w:val="2"/>
        <w:ind w:firstLine="420" w:firstLineChars="200"/>
        <w:rPr>
          <w:rFonts w:hint="eastAsia" w:ascii="宋体" w:hAnsi="宋体"/>
          <w:color w:val="auto"/>
          <w:szCs w:val="21"/>
          <w:highlight w:val="none"/>
        </w:rPr>
      </w:pPr>
    </w:p>
    <w:p>
      <w:pPr>
        <w:pStyle w:val="2"/>
        <w:ind w:firstLine="420" w:firstLineChars="200"/>
        <w:rPr>
          <w:rFonts w:ascii="宋体" w:hAnsi="宋体"/>
          <w:color w:val="auto"/>
          <w:szCs w:val="21"/>
          <w:highlight w:val="none"/>
        </w:rPr>
      </w:pPr>
      <w:r>
        <w:rPr>
          <w:rFonts w:hint="eastAsia" w:ascii="宋体" w:hAnsi="宋体"/>
          <w:color w:val="auto"/>
          <w:szCs w:val="21"/>
          <w:highlight w:val="none"/>
        </w:rPr>
        <w:t>（1）所称小型和微型企业应当符合以下条件：</w:t>
      </w:r>
    </w:p>
    <w:p>
      <w:pPr>
        <w:pStyle w:val="2"/>
        <w:ind w:firstLine="420" w:firstLineChars="200"/>
        <w:rPr>
          <w:rFonts w:ascii="宋体" w:hAnsi="宋体"/>
          <w:color w:val="auto"/>
          <w:szCs w:val="21"/>
          <w:highlight w:val="none"/>
        </w:rPr>
      </w:pPr>
      <w:r>
        <w:rPr>
          <w:rFonts w:hint="eastAsia" w:ascii="宋体" w:hAnsi="宋体"/>
          <w:color w:val="auto"/>
          <w:szCs w:val="21"/>
          <w:highlight w:val="none"/>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pPr>
        <w:pStyle w:val="2"/>
        <w:ind w:firstLine="420" w:firstLineChars="200"/>
        <w:rPr>
          <w:rFonts w:ascii="宋体" w:hAnsi="宋体"/>
          <w:color w:val="auto"/>
          <w:szCs w:val="21"/>
          <w:highlight w:val="none"/>
        </w:rPr>
      </w:pPr>
      <w:r>
        <w:rPr>
          <w:rFonts w:hint="eastAsia" w:ascii="宋体" w:hAnsi="宋体"/>
          <w:color w:val="auto"/>
          <w:szCs w:val="21"/>
          <w:highlight w:val="none"/>
        </w:rPr>
        <w:t>符合中小企业划分标准的个体工商户，在采购活动中视同中小企业。</w:t>
      </w:r>
    </w:p>
    <w:p>
      <w:pPr>
        <w:pStyle w:val="2"/>
        <w:ind w:firstLine="420" w:firstLineChars="200"/>
        <w:rPr>
          <w:rFonts w:ascii="宋体" w:hAnsi="宋体"/>
          <w:color w:val="auto"/>
          <w:szCs w:val="21"/>
          <w:highlight w:val="none"/>
        </w:rPr>
      </w:pPr>
      <w:r>
        <w:rPr>
          <w:rFonts w:hint="eastAsia" w:ascii="宋体" w:hAnsi="宋体"/>
          <w:color w:val="auto"/>
          <w:szCs w:val="21"/>
          <w:highlight w:val="none"/>
        </w:rPr>
        <w:t>提供本企业（属于小微企业）制造的货物或者提供其他小型或微型企业制造的货物/提供本企业（属于小微企业）承接的服务。</w:t>
      </w:r>
    </w:p>
    <w:p>
      <w:pPr>
        <w:pStyle w:val="2"/>
        <w:ind w:firstLine="420" w:firstLineChars="200"/>
        <w:rPr>
          <w:rFonts w:ascii="宋体" w:hAnsi="宋体"/>
          <w:color w:val="auto"/>
          <w:szCs w:val="21"/>
          <w:highlight w:val="none"/>
        </w:rPr>
      </w:pPr>
      <w:r>
        <w:rPr>
          <w:rFonts w:hint="eastAsia" w:ascii="宋体" w:hAnsi="宋体"/>
          <w:color w:val="auto"/>
          <w:szCs w:val="21"/>
          <w:highlight w:val="none"/>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2"/>
        <w:ind w:firstLine="420" w:firstLineChars="200"/>
        <w:rPr>
          <w:rFonts w:ascii="宋体" w:hAnsi="宋体"/>
          <w:color w:val="auto"/>
          <w:szCs w:val="21"/>
          <w:highlight w:val="none"/>
        </w:rPr>
      </w:pPr>
      <w:r>
        <w:rPr>
          <w:rFonts w:hint="eastAsia" w:ascii="宋体" w:hAnsi="宋体"/>
          <w:color w:val="auto"/>
          <w:szCs w:val="21"/>
          <w:highlight w:val="none"/>
        </w:rPr>
        <w:t>说明：供应商应当对其出具的《中小企业声明函》真实性负责，供应商出具的《中小企业声明函》内容不实的，属于提供虚假材料谋取成交。</w:t>
      </w:r>
    </w:p>
    <w:p>
      <w:pPr>
        <w:pStyle w:val="2"/>
        <w:ind w:firstLine="420" w:firstLineChars="200"/>
        <w:rPr>
          <w:rFonts w:ascii="宋体" w:hAnsi="宋体"/>
          <w:color w:val="auto"/>
          <w:szCs w:val="21"/>
          <w:highlight w:val="none"/>
        </w:rPr>
      </w:pPr>
      <w:r>
        <w:rPr>
          <w:rFonts w:hint="eastAsia" w:ascii="宋体" w:hAnsi="宋体"/>
          <w:color w:val="auto"/>
          <w:szCs w:val="21"/>
          <w:highlight w:val="none"/>
        </w:rPr>
        <w:t>（3）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pPr>
        <w:pStyle w:val="4"/>
        <w:numPr>
          <w:ilvl w:val="0"/>
          <w:numId w:val="21"/>
        </w:numPr>
        <w:spacing w:before="120" w:after="120"/>
        <w:rPr>
          <w:rFonts w:ascii="宋体" w:hAnsi="宋体"/>
          <w:color w:val="auto"/>
          <w:sz w:val="21"/>
          <w:szCs w:val="21"/>
          <w:highlight w:val="none"/>
        </w:rPr>
      </w:pPr>
      <w:bookmarkStart w:id="53" w:name="_Toc104040699"/>
      <w:r>
        <w:rPr>
          <w:rFonts w:hint="eastAsia" w:ascii="宋体" w:hAnsi="宋体"/>
          <w:color w:val="auto"/>
          <w:sz w:val="21"/>
          <w:szCs w:val="21"/>
          <w:highlight w:val="none"/>
        </w:rPr>
        <w:t>评审程序</w:t>
      </w:r>
      <w:bookmarkEnd w:id="53"/>
    </w:p>
    <w:p>
      <w:pPr>
        <w:pStyle w:val="126"/>
        <w:numPr>
          <w:ilvl w:val="0"/>
          <w:numId w:val="24"/>
        </w:numPr>
        <w:jc w:val="left"/>
        <w:outlineLvl w:val="2"/>
        <w:rPr>
          <w:rFonts w:ascii="宋体" w:hAnsi="宋体"/>
          <w:b/>
          <w:color w:val="auto"/>
          <w:szCs w:val="21"/>
          <w:highlight w:val="none"/>
        </w:rPr>
      </w:pPr>
      <w:r>
        <w:rPr>
          <w:rFonts w:hint="eastAsia" w:ascii="宋体" w:hAnsi="宋体"/>
          <w:b/>
          <w:color w:val="auto"/>
          <w:szCs w:val="21"/>
          <w:highlight w:val="none"/>
        </w:rPr>
        <w:t>资格性审查和符合性审查</w:t>
      </w:r>
    </w:p>
    <w:p>
      <w:pPr>
        <w:pStyle w:val="2"/>
        <w:ind w:firstLine="420" w:firstLineChars="200"/>
        <w:rPr>
          <w:rFonts w:ascii="宋体" w:hAnsi="宋体"/>
          <w:color w:val="auto"/>
          <w:szCs w:val="21"/>
          <w:highlight w:val="none"/>
        </w:rPr>
      </w:pPr>
      <w:r>
        <w:rPr>
          <w:rFonts w:hint="eastAsia" w:ascii="宋体" w:hAnsi="宋体"/>
          <w:color w:val="auto"/>
          <w:szCs w:val="21"/>
          <w:highlight w:val="none"/>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2"/>
        <w:ind w:firstLine="420" w:firstLineChars="200"/>
        <w:rPr>
          <w:rFonts w:ascii="宋体" w:hAnsi="宋体"/>
          <w:color w:val="auto"/>
          <w:szCs w:val="21"/>
          <w:highlight w:val="none"/>
        </w:rPr>
      </w:pPr>
      <w:r>
        <w:rPr>
          <w:rFonts w:hint="eastAsia" w:ascii="宋体" w:hAnsi="宋体"/>
          <w:color w:val="auto"/>
          <w:szCs w:val="21"/>
          <w:highlight w:val="none"/>
        </w:rPr>
        <w:t>磋商小组对各磋商供应商进行资格性和符合性审查过程中，对初步被认定为初审不合格或无效响应者应实行及时告知，由磋商小组组长或采购人代表将集体意见及时告知报价当事人。</w:t>
      </w:r>
    </w:p>
    <w:p>
      <w:pPr>
        <w:ind w:firstLine="422" w:firstLineChars="200"/>
        <w:jc w:val="left"/>
        <w:outlineLvl w:val="3"/>
        <w:rPr>
          <w:rFonts w:ascii="宋体" w:hAnsi="宋体" w:cs="Futura-Heavy"/>
          <w:b/>
          <w:bCs/>
          <w:color w:val="auto"/>
          <w:kern w:val="0"/>
          <w:szCs w:val="21"/>
          <w:highlight w:val="none"/>
        </w:rPr>
      </w:pPr>
      <w:r>
        <w:rPr>
          <w:rFonts w:hint="eastAsia" w:ascii="宋体" w:hAnsi="宋体" w:cs="Futura-Heavy"/>
          <w:b/>
          <w:bCs/>
          <w:color w:val="auto"/>
          <w:kern w:val="0"/>
          <w:szCs w:val="21"/>
          <w:highlight w:val="none"/>
        </w:rPr>
        <w:t>表一：资格性审查表</w:t>
      </w:r>
      <w:bookmarkEnd w:id="46"/>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2286"/>
        <w:gridCol w:w="6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61" w:type="pct"/>
            <w:vAlign w:val="center"/>
          </w:tcPr>
          <w:p>
            <w:pPr>
              <w:snapToGrid w:val="0"/>
              <w:spacing w:beforeLines="50" w:afterLines="50" w:line="240" w:lineRule="auto"/>
              <w:jc w:val="center"/>
              <w:rPr>
                <w:rFonts w:ascii="宋体" w:hAnsi="宋体"/>
                <w:b/>
                <w:color w:val="auto"/>
                <w:szCs w:val="21"/>
                <w:highlight w:val="none"/>
              </w:rPr>
            </w:pPr>
            <w:r>
              <w:rPr>
                <w:rFonts w:ascii="宋体" w:hAnsi="宋体"/>
                <w:b/>
                <w:color w:val="auto"/>
                <w:szCs w:val="21"/>
                <w:highlight w:val="none"/>
              </w:rPr>
              <w:t>序号</w:t>
            </w:r>
          </w:p>
        </w:tc>
        <w:tc>
          <w:tcPr>
            <w:tcW w:w="4638" w:type="pct"/>
            <w:gridSpan w:val="2"/>
            <w:vAlign w:val="center"/>
          </w:tcPr>
          <w:p>
            <w:pPr>
              <w:snapToGrid w:val="0"/>
              <w:spacing w:beforeLines="50" w:afterLines="50" w:line="240" w:lineRule="auto"/>
              <w:jc w:val="center"/>
              <w:rPr>
                <w:rFonts w:ascii="宋体" w:hAnsi="宋体"/>
                <w:b/>
                <w:color w:val="auto"/>
                <w:szCs w:val="21"/>
                <w:highlight w:val="none"/>
              </w:rPr>
            </w:pPr>
            <w:r>
              <w:rPr>
                <w:rFonts w:hint="eastAsia" w:ascii="宋体" w:hAnsi="宋体"/>
                <w:b/>
                <w:color w:val="auto"/>
                <w:szCs w:val="21"/>
                <w:highlight w:val="none"/>
              </w:rPr>
              <w:t>资格审查内容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color w:val="auto"/>
                <w:szCs w:val="21"/>
                <w:highlight w:val="none"/>
              </w:rPr>
              <w:t>具有独立承担民事责任的能力</w:t>
            </w:r>
          </w:p>
        </w:tc>
        <w:tc>
          <w:tcPr>
            <w:tcW w:w="3400" w:type="pct"/>
            <w:vAlign w:val="center"/>
          </w:tcPr>
          <w:p>
            <w:pPr>
              <w:snapToGrid w:val="0"/>
              <w:spacing w:beforeLines="50" w:afterLines="50" w:line="240" w:lineRule="auto"/>
              <w:rPr>
                <w:rFonts w:ascii="宋体" w:hAnsi="宋体"/>
                <w:bCs/>
                <w:color w:val="auto"/>
                <w:szCs w:val="21"/>
                <w:highlight w:val="none"/>
              </w:rPr>
            </w:pPr>
            <w:r>
              <w:rPr>
                <w:rFonts w:hint="eastAsia" w:ascii="宋体" w:hAnsi="宋体"/>
                <w:color w:val="auto"/>
                <w:szCs w:val="21"/>
                <w:highlight w:val="none"/>
              </w:rPr>
              <w:t>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color w:val="auto"/>
                <w:szCs w:val="21"/>
                <w:highlight w:val="none"/>
              </w:rPr>
              <w:t>有依法缴纳税收和社会保障资金的良好记录</w:t>
            </w:r>
          </w:p>
        </w:tc>
        <w:tc>
          <w:tcPr>
            <w:tcW w:w="3400" w:type="pct"/>
            <w:vAlign w:val="center"/>
          </w:tcPr>
          <w:p>
            <w:pPr>
              <w:snapToGrid w:val="0"/>
              <w:spacing w:beforeLines="50" w:afterLines="50" w:line="240" w:lineRule="auto"/>
              <w:rPr>
                <w:rFonts w:hint="default" w:ascii="宋体" w:hAnsi="宋体" w:eastAsia="宋体"/>
                <w:bCs/>
                <w:color w:val="auto"/>
                <w:szCs w:val="21"/>
                <w:highlight w:val="none"/>
                <w:lang w:val="en-US" w:eastAsia="zh-CN"/>
              </w:rPr>
            </w:pPr>
            <w:r>
              <w:rPr>
                <w:rFonts w:hint="eastAsia" w:ascii="宋体" w:hAnsi="宋体"/>
                <w:bCs/>
                <w:color w:val="auto"/>
                <w:szCs w:val="21"/>
                <w:highlight w:val="none"/>
              </w:rPr>
              <w:t>提供《茂名市政府采购供应商资格信用承诺函》。（格式详见公告附件）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color w:val="auto"/>
                <w:szCs w:val="21"/>
                <w:highlight w:val="none"/>
              </w:rPr>
              <w:t>具有良好的商业信誉和健全的财务会计制度</w:t>
            </w:r>
          </w:p>
        </w:tc>
        <w:tc>
          <w:tcPr>
            <w:tcW w:w="3400" w:type="pct"/>
            <w:vAlign w:val="center"/>
          </w:tcPr>
          <w:p>
            <w:pPr>
              <w:snapToGrid w:val="0"/>
              <w:spacing w:beforeLines="50" w:afterLines="50" w:line="240" w:lineRule="auto"/>
              <w:rPr>
                <w:rFonts w:ascii="宋体" w:hAnsi="宋体"/>
                <w:bCs/>
                <w:color w:val="auto"/>
                <w:szCs w:val="21"/>
                <w:highlight w:val="none"/>
              </w:rPr>
            </w:pPr>
            <w:r>
              <w:rPr>
                <w:rFonts w:hint="eastAsia" w:ascii="宋体" w:hAnsi="宋体"/>
                <w:bCs/>
                <w:color w:val="auto"/>
                <w:szCs w:val="21"/>
                <w:highlight w:val="none"/>
              </w:rPr>
              <w:t>提供《茂名市政府采购供应商资格信用承诺函》。（格式详见公告附件）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color w:val="auto"/>
                <w:szCs w:val="21"/>
                <w:highlight w:val="none"/>
              </w:rPr>
              <w:t>履行合同所必需的设备和专业技术能力</w:t>
            </w:r>
          </w:p>
        </w:tc>
        <w:tc>
          <w:tcPr>
            <w:tcW w:w="3400" w:type="pct"/>
            <w:vAlign w:val="center"/>
          </w:tcPr>
          <w:p>
            <w:pPr>
              <w:snapToGrid w:val="0"/>
              <w:spacing w:beforeLines="50" w:afterLines="50" w:line="240" w:lineRule="auto"/>
              <w:rPr>
                <w:rFonts w:ascii="宋体" w:hAnsi="宋体"/>
                <w:bCs/>
                <w:color w:val="auto"/>
                <w:szCs w:val="21"/>
                <w:highlight w:val="none"/>
              </w:rPr>
            </w:pPr>
            <w:r>
              <w:rPr>
                <w:rFonts w:hint="eastAsia" w:ascii="宋体" w:hAnsi="宋体"/>
                <w:bCs/>
                <w:color w:val="auto"/>
                <w:szCs w:val="21"/>
                <w:highlight w:val="none"/>
              </w:rPr>
              <w:t>提供《茂名市政府采购供应商资格信用承诺函》。（格式详见公告附件）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color w:val="auto"/>
                <w:szCs w:val="21"/>
                <w:highlight w:val="none"/>
              </w:rPr>
              <w:t>参加采购活动前3年内，在经营活动中没有重大违法记录</w:t>
            </w:r>
          </w:p>
        </w:tc>
        <w:tc>
          <w:tcPr>
            <w:tcW w:w="3400" w:type="pct"/>
            <w:vAlign w:val="center"/>
          </w:tcPr>
          <w:p>
            <w:pPr>
              <w:snapToGrid w:val="0"/>
              <w:spacing w:beforeLines="50" w:afterLines="50" w:line="240" w:lineRule="auto"/>
              <w:rPr>
                <w:rFonts w:ascii="宋体" w:hAnsi="宋体"/>
                <w:bCs/>
                <w:color w:val="auto"/>
                <w:szCs w:val="21"/>
                <w:highlight w:val="none"/>
              </w:rPr>
            </w:pPr>
            <w:r>
              <w:rPr>
                <w:rFonts w:hint="eastAsia" w:ascii="宋体" w:hAnsi="宋体"/>
                <w:bCs/>
                <w:color w:val="auto"/>
                <w:szCs w:val="21"/>
                <w:highlight w:val="none"/>
              </w:rPr>
              <w:t>提供《茂名市政府采购供应商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Cs/>
                <w:color w:val="auto"/>
                <w:szCs w:val="21"/>
                <w:highlight w:val="none"/>
              </w:rPr>
              <w:t>供应商符合法律、行政法规规定的其他条件</w:t>
            </w:r>
          </w:p>
        </w:tc>
        <w:tc>
          <w:tcPr>
            <w:tcW w:w="3400" w:type="pct"/>
            <w:vAlign w:val="center"/>
          </w:tcPr>
          <w:p>
            <w:pPr>
              <w:snapToGrid w:val="0"/>
              <w:spacing w:beforeLines="50" w:afterLines="50" w:line="240" w:lineRule="auto"/>
              <w:rPr>
                <w:rFonts w:ascii="宋体" w:hAnsi="宋体"/>
                <w:color w:val="auto"/>
                <w:highlight w:val="none"/>
              </w:rPr>
            </w:pPr>
            <w:r>
              <w:rPr>
                <w:rFonts w:hint="eastAsia" w:ascii="宋体" w:hAnsi="宋体"/>
                <w:color w:val="auto"/>
                <w:highlight w:val="none"/>
              </w:rPr>
              <w:t>单位负责人为同一人或者存在直接控股、管理关系的不同供应商，不得同时参加本采购项目（包组）投标（响应）。为本项目提供整体设计、规范编制或者项目管理、监理等服务的供应商，不得再参与本项目投标（响应）。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Cs/>
                <w:color w:val="auto"/>
                <w:szCs w:val="21"/>
                <w:highlight w:val="none"/>
              </w:rPr>
              <w:t>信用记录</w:t>
            </w:r>
          </w:p>
        </w:tc>
        <w:tc>
          <w:tcPr>
            <w:tcW w:w="3400" w:type="pct"/>
            <w:vAlign w:val="center"/>
          </w:tcPr>
          <w:p>
            <w:pPr>
              <w:snapToGrid w:val="0"/>
              <w:spacing w:beforeLines="50" w:afterLines="50" w:line="240" w:lineRule="auto"/>
              <w:rPr>
                <w:rFonts w:ascii="宋体" w:hAnsi="宋体"/>
                <w:bCs/>
                <w:color w:val="auto"/>
                <w:szCs w:val="21"/>
                <w:highlight w:val="none"/>
              </w:rPr>
            </w:pPr>
            <w:r>
              <w:rPr>
                <w:rFonts w:hint="eastAsia" w:ascii="宋体" w:hAnsi="宋体"/>
                <w:bCs/>
                <w:color w:val="auto"/>
                <w:szCs w:val="21"/>
                <w:highlight w:val="none"/>
              </w:rPr>
              <w:t>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Cs/>
                <w:color w:val="auto"/>
                <w:szCs w:val="21"/>
                <w:highlight w:val="none"/>
              </w:rPr>
              <w:t>企业资质</w:t>
            </w:r>
          </w:p>
        </w:tc>
        <w:tc>
          <w:tcPr>
            <w:tcW w:w="3400" w:type="pct"/>
            <w:vAlign w:val="center"/>
          </w:tcPr>
          <w:p>
            <w:pPr>
              <w:snapToGrid w:val="0"/>
              <w:spacing w:beforeLines="50" w:afterLines="50" w:line="240" w:lineRule="auto"/>
              <w:rPr>
                <w:rFonts w:hint="eastAsia" w:ascii="宋体" w:hAnsi="宋体" w:eastAsia="宋体"/>
                <w:bCs/>
                <w:color w:val="auto"/>
                <w:szCs w:val="21"/>
                <w:highlight w:val="none"/>
                <w:lang w:eastAsia="zh-CN"/>
              </w:rPr>
            </w:pPr>
            <w:r>
              <w:rPr>
                <w:rFonts w:hint="eastAsia" w:ascii="宋体" w:hAnsi="宋体"/>
                <w:bCs/>
                <w:color w:val="auto"/>
                <w:szCs w:val="21"/>
                <w:highlight w:val="none"/>
              </w:rPr>
              <w:t>具备行政部门颁发有效期内的《食品生产许可证》或《食品经营许可证》；新注册的企业，可提供食品经营备案信息采集表或者官网备案截图（提供相关复印件加盖投标人公章）</w:t>
            </w:r>
            <w:r>
              <w:rPr>
                <w:rFonts w:hint="eastAsia" w:ascii="宋体" w:hAnsi="宋体"/>
                <w:bCs/>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Cs/>
                <w:color w:val="auto"/>
                <w:szCs w:val="21"/>
                <w:highlight w:val="none"/>
              </w:rPr>
              <w:t>企业信用</w:t>
            </w:r>
          </w:p>
        </w:tc>
        <w:tc>
          <w:tcPr>
            <w:tcW w:w="3400" w:type="pct"/>
            <w:vAlign w:val="center"/>
          </w:tcPr>
          <w:p>
            <w:pPr>
              <w:snapToGrid w:val="0"/>
              <w:spacing w:beforeLines="50" w:afterLines="50" w:line="240" w:lineRule="auto"/>
              <w:rPr>
                <w:rFonts w:ascii="宋体" w:hAnsi="宋体"/>
                <w:bCs/>
                <w:color w:val="auto"/>
                <w:szCs w:val="21"/>
                <w:highlight w:val="none"/>
              </w:rPr>
            </w:pPr>
            <w:r>
              <w:rPr>
                <w:rFonts w:hint="eastAsia" w:ascii="宋体" w:hAnsi="宋体"/>
                <w:color w:val="auto"/>
                <w:szCs w:val="21"/>
                <w:highlight w:val="none"/>
                <w:lang w:val="en-US" w:eastAsia="zh-CN"/>
              </w:rPr>
              <w:t>本项目不接受联合体投标，不允许转包（提供承诺函，并加盖公章）</w:t>
            </w:r>
            <w:r>
              <w:rPr>
                <w:rFonts w:hint="eastAsia"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25"/>
              </w:numPr>
              <w:snapToGrid w:val="0"/>
              <w:spacing w:beforeLines="50" w:afterLines="50" w:line="240" w:lineRule="auto"/>
              <w:ind w:left="0" w:firstLine="0"/>
              <w:jc w:val="center"/>
              <w:rPr>
                <w:rFonts w:ascii="宋体" w:hAnsi="宋体"/>
                <w:bCs/>
                <w:color w:val="auto"/>
                <w:szCs w:val="21"/>
                <w:highlight w:val="none"/>
              </w:rPr>
            </w:pPr>
          </w:p>
        </w:tc>
        <w:tc>
          <w:tcPr>
            <w:tcW w:w="1237" w:type="pct"/>
            <w:vAlign w:val="center"/>
          </w:tcPr>
          <w:p>
            <w:pPr>
              <w:snapToGrid w:val="0"/>
              <w:spacing w:beforeLines="50" w:afterLines="50" w:line="240" w:lineRule="auto"/>
              <w:jc w:val="center"/>
              <w:rPr>
                <w:rFonts w:hint="eastAsia" w:ascii="宋体" w:hAnsi="宋体"/>
                <w:bCs/>
                <w:color w:val="auto"/>
                <w:szCs w:val="21"/>
                <w:highlight w:val="none"/>
              </w:rPr>
            </w:pPr>
            <w:r>
              <w:rPr>
                <w:rFonts w:hint="eastAsia" w:ascii="宋体" w:hAnsi="宋体"/>
                <w:bCs/>
                <w:color w:val="auto"/>
                <w:szCs w:val="21"/>
                <w:highlight w:val="none"/>
              </w:rPr>
              <w:t>落实政府采购政策需满足的资格要求</w:t>
            </w:r>
          </w:p>
        </w:tc>
        <w:tc>
          <w:tcPr>
            <w:tcW w:w="3400" w:type="pct"/>
            <w:vAlign w:val="center"/>
          </w:tcPr>
          <w:p>
            <w:pPr>
              <w:snapToGrid w:val="0"/>
              <w:spacing w:beforeLines="50" w:afterLines="50" w:line="240" w:lineRule="auto"/>
              <w:rPr>
                <w:rFonts w:hint="eastAsia" w:ascii="宋体" w:hAnsi="宋体"/>
                <w:color w:val="auto"/>
                <w:szCs w:val="21"/>
                <w:highlight w:val="none"/>
                <w:lang w:val="en-US" w:eastAsia="zh-CN"/>
              </w:rPr>
            </w:pPr>
            <w:r>
              <w:rPr>
                <w:rFonts w:hint="eastAsia" w:ascii="宋体" w:hAnsi="宋体" w:cs="Futura-Heavy"/>
                <w:b/>
                <w:bCs w:val="0"/>
                <w:color w:val="auto"/>
                <w:szCs w:val="21"/>
                <w:highlight w:val="none"/>
                <w:shd w:val="clear" w:color="auto" w:fill="FFFFFF"/>
              </w:rPr>
              <w:t>本项目</w:t>
            </w:r>
            <w:r>
              <w:rPr>
                <w:rFonts w:hint="eastAsia" w:ascii="宋体" w:hAnsi="宋体" w:cs="Futura-Heavy"/>
                <w:b/>
                <w:bCs w:val="0"/>
                <w:color w:val="auto"/>
                <w:szCs w:val="21"/>
                <w:highlight w:val="none"/>
                <w:shd w:val="clear" w:color="auto" w:fill="FFFFFF"/>
                <w:lang w:val="en-US" w:eastAsia="zh-CN"/>
              </w:rPr>
              <w:t>属于</w:t>
            </w:r>
            <w:r>
              <w:rPr>
                <w:rFonts w:hint="eastAsia" w:ascii="宋体" w:hAnsi="宋体" w:cs="Futura-Heavy"/>
                <w:b/>
                <w:bCs w:val="0"/>
                <w:color w:val="auto"/>
                <w:szCs w:val="21"/>
                <w:highlight w:val="none"/>
                <w:shd w:val="clear" w:color="auto" w:fill="FFFFFF"/>
              </w:rPr>
              <w:t>专门面向中小企业</w:t>
            </w:r>
            <w:r>
              <w:rPr>
                <w:rFonts w:hint="eastAsia" w:ascii="宋体" w:hAnsi="宋体" w:cs="Futura-Heavy"/>
                <w:b/>
                <w:bCs w:val="0"/>
                <w:color w:val="auto"/>
                <w:szCs w:val="21"/>
                <w:highlight w:val="none"/>
                <w:shd w:val="clear" w:color="auto" w:fill="FFFFFF"/>
                <w:lang w:val="en-US" w:eastAsia="zh-CN"/>
              </w:rPr>
              <w:t>采购的项目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
                <w:color w:val="auto"/>
                <w:szCs w:val="21"/>
                <w:highlight w:val="no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pacing w:beforeLines="50" w:afterLines="50" w:line="240" w:lineRule="auto"/>
              <w:jc w:val="left"/>
              <w:rPr>
                <w:rFonts w:ascii="宋体" w:hAnsi="宋体"/>
                <w:bCs/>
                <w:color w:val="auto"/>
                <w:szCs w:val="21"/>
                <w:highlight w:val="none"/>
              </w:rPr>
            </w:pPr>
            <w:r>
              <w:rPr>
                <w:rFonts w:hint="eastAsia" w:ascii="宋体" w:hAnsi="宋体"/>
                <w:bCs/>
                <w:color w:val="auto"/>
                <w:szCs w:val="21"/>
                <w:highlight w:val="none"/>
              </w:rPr>
              <w:t>填表说明：</w:t>
            </w:r>
          </w:p>
          <w:p>
            <w:pPr>
              <w:spacing w:beforeLines="50" w:afterLines="50" w:line="240" w:lineRule="auto"/>
              <w:jc w:val="left"/>
              <w:rPr>
                <w:rFonts w:ascii="宋体" w:hAnsi="宋体"/>
                <w:bCs/>
                <w:color w:val="auto"/>
                <w:szCs w:val="21"/>
                <w:highlight w:val="none"/>
              </w:rPr>
            </w:pPr>
            <w:r>
              <w:rPr>
                <w:rFonts w:hint="eastAsia" w:ascii="宋体" w:hAnsi="宋体"/>
                <w:bCs/>
                <w:color w:val="auto"/>
                <w:szCs w:val="21"/>
                <w:highlight w:val="none"/>
              </w:rPr>
              <w:t>1.“通过”打“√”，“未通过”打“×”；</w:t>
            </w:r>
          </w:p>
          <w:p>
            <w:pPr>
              <w:spacing w:beforeLines="50" w:afterLines="50" w:line="240" w:lineRule="auto"/>
              <w:jc w:val="left"/>
              <w:rPr>
                <w:rFonts w:ascii="宋体" w:hAnsi="宋体"/>
                <w:bCs/>
                <w:color w:val="auto"/>
                <w:szCs w:val="21"/>
                <w:highlight w:val="none"/>
              </w:rPr>
            </w:pPr>
            <w:r>
              <w:rPr>
                <w:rFonts w:hint="eastAsia" w:ascii="宋体" w:hAnsi="宋体"/>
                <w:bCs/>
                <w:color w:val="auto"/>
                <w:szCs w:val="21"/>
                <w:highlight w:val="none"/>
              </w:rPr>
              <w:t>2.在结论栏中填写“通过”或“未通过”；</w:t>
            </w:r>
          </w:p>
          <w:p>
            <w:pPr>
              <w:spacing w:beforeLines="50" w:afterLines="50" w:line="240" w:lineRule="auto"/>
              <w:jc w:val="left"/>
              <w:rPr>
                <w:rFonts w:ascii="宋体" w:hAnsi="宋体"/>
                <w:b/>
                <w:color w:val="auto"/>
                <w:szCs w:val="21"/>
                <w:highlight w:val="none"/>
              </w:rPr>
            </w:pPr>
            <w:r>
              <w:rPr>
                <w:rFonts w:hint="eastAsia" w:ascii="宋体" w:hAnsi="宋体"/>
                <w:bCs/>
                <w:color w:val="auto"/>
                <w:szCs w:val="21"/>
                <w:highlight w:val="none"/>
              </w:rPr>
              <w:t>3.投标人有一个“未通过”，审查结论视为“未通过”。</w:t>
            </w:r>
          </w:p>
        </w:tc>
      </w:tr>
    </w:tbl>
    <w:p>
      <w:pPr>
        <w:jc w:val="left"/>
        <w:rPr>
          <w:rFonts w:ascii="宋体" w:hAnsi="宋体"/>
          <w:color w:val="auto"/>
          <w:highlight w:val="none"/>
        </w:rPr>
      </w:pPr>
    </w:p>
    <w:p>
      <w:pPr>
        <w:ind w:firstLine="422" w:firstLineChars="200"/>
        <w:jc w:val="left"/>
        <w:outlineLvl w:val="3"/>
        <w:rPr>
          <w:rFonts w:ascii="宋体" w:hAnsi="宋体" w:cs="Futura-Heavy"/>
          <w:b/>
          <w:bCs/>
          <w:color w:val="auto"/>
          <w:kern w:val="0"/>
          <w:szCs w:val="21"/>
          <w:highlight w:val="none"/>
        </w:rPr>
      </w:pPr>
      <w:r>
        <w:rPr>
          <w:rFonts w:hint="eastAsia" w:ascii="宋体" w:hAnsi="宋体" w:cs="Futura-Heavy"/>
          <w:b/>
          <w:bCs/>
          <w:color w:val="auto"/>
          <w:kern w:val="0"/>
          <w:szCs w:val="21"/>
          <w:highlight w:val="none"/>
        </w:rPr>
        <w:t>表二：符合性审查表</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3270"/>
        <w:gridCol w:w="5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snapToGrid w:val="0"/>
              <w:spacing w:beforeLines="50" w:afterLines="50" w:line="240" w:lineRule="auto"/>
              <w:jc w:val="center"/>
              <w:rPr>
                <w:rFonts w:ascii="宋体" w:hAnsi="宋体"/>
                <w:b/>
                <w:color w:val="auto"/>
                <w:szCs w:val="21"/>
                <w:highlight w:val="none"/>
              </w:rPr>
            </w:pPr>
            <w:r>
              <w:rPr>
                <w:rFonts w:ascii="宋体" w:hAnsi="宋体"/>
                <w:b/>
                <w:color w:val="auto"/>
                <w:szCs w:val="21"/>
                <w:highlight w:val="none"/>
              </w:rPr>
              <w:t>序号</w:t>
            </w:r>
          </w:p>
        </w:tc>
        <w:tc>
          <w:tcPr>
            <w:tcW w:w="1769" w:type="pct"/>
            <w:vAlign w:val="center"/>
          </w:tcPr>
          <w:p>
            <w:pPr>
              <w:snapToGrid w:val="0"/>
              <w:spacing w:beforeLines="50" w:afterLines="50" w:line="240" w:lineRule="auto"/>
              <w:jc w:val="center"/>
              <w:rPr>
                <w:rFonts w:ascii="宋体" w:hAnsi="宋体"/>
                <w:b/>
                <w:color w:val="auto"/>
                <w:szCs w:val="21"/>
                <w:highlight w:val="none"/>
              </w:rPr>
            </w:pPr>
            <w:r>
              <w:rPr>
                <w:rFonts w:hint="eastAsia" w:ascii="宋体" w:hAnsi="宋体"/>
                <w:b/>
                <w:color w:val="auto"/>
                <w:szCs w:val="21"/>
                <w:highlight w:val="none"/>
              </w:rPr>
              <w:t>评审点要求概况</w:t>
            </w:r>
          </w:p>
        </w:tc>
        <w:tc>
          <w:tcPr>
            <w:tcW w:w="2868" w:type="pct"/>
            <w:vAlign w:val="center"/>
          </w:tcPr>
          <w:p>
            <w:pPr>
              <w:snapToGrid w:val="0"/>
              <w:spacing w:beforeLines="50" w:afterLines="50" w:line="240" w:lineRule="auto"/>
              <w:jc w:val="center"/>
              <w:rPr>
                <w:rFonts w:ascii="宋体" w:hAnsi="宋体"/>
                <w:b/>
                <w:color w:val="auto"/>
                <w:szCs w:val="21"/>
                <w:highlight w:val="none"/>
              </w:rPr>
            </w:pPr>
            <w:r>
              <w:rPr>
                <w:rFonts w:hint="eastAsia" w:ascii="宋体" w:hAnsi="宋体"/>
                <w:b/>
                <w:color w:val="auto"/>
                <w:szCs w:val="21"/>
                <w:highlight w:val="none"/>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26"/>
              </w:numPr>
              <w:spacing w:line="240" w:lineRule="auto"/>
              <w:ind w:left="0" w:firstLine="0"/>
              <w:jc w:val="center"/>
              <w:rPr>
                <w:rFonts w:ascii="宋体" w:hAnsi="宋体"/>
                <w:color w:val="auto"/>
                <w:highlight w:val="none"/>
              </w:rPr>
            </w:pPr>
          </w:p>
        </w:tc>
        <w:tc>
          <w:tcPr>
            <w:tcW w:w="1769"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Cs/>
                <w:color w:val="auto"/>
                <w:szCs w:val="21"/>
                <w:highlight w:val="none"/>
              </w:rPr>
              <w:t>响应承诺函</w:t>
            </w:r>
          </w:p>
        </w:tc>
        <w:tc>
          <w:tcPr>
            <w:tcW w:w="2868" w:type="pct"/>
            <w:vAlign w:val="center"/>
          </w:tcPr>
          <w:p>
            <w:pPr>
              <w:snapToGrid w:val="0"/>
              <w:spacing w:beforeLines="50" w:afterLines="50" w:line="240" w:lineRule="auto"/>
              <w:rPr>
                <w:rFonts w:ascii="宋体" w:hAnsi="宋体"/>
                <w:bCs/>
                <w:color w:val="auto"/>
                <w:szCs w:val="21"/>
                <w:highlight w:val="none"/>
              </w:rPr>
            </w:pPr>
            <w:r>
              <w:rPr>
                <w:rFonts w:hint="eastAsia" w:ascii="宋体" w:hAnsi="宋体"/>
                <w:bCs/>
                <w:color w:val="auto"/>
                <w:szCs w:val="21"/>
                <w:highlight w:val="none"/>
              </w:rPr>
              <w:t>按采购文件要求提交响应承诺函，内容完整，无重大错漏，按对应格式文件签署和盖章。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26"/>
              </w:numPr>
              <w:spacing w:line="240" w:lineRule="auto"/>
              <w:ind w:left="0" w:firstLine="0"/>
              <w:jc w:val="center"/>
              <w:rPr>
                <w:rFonts w:ascii="宋体" w:hAnsi="宋体"/>
                <w:color w:val="auto"/>
                <w:highlight w:val="none"/>
              </w:rPr>
            </w:pPr>
          </w:p>
        </w:tc>
        <w:tc>
          <w:tcPr>
            <w:tcW w:w="1769"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Cs/>
                <w:color w:val="auto"/>
                <w:szCs w:val="21"/>
                <w:highlight w:val="none"/>
              </w:rPr>
              <w:t>响应</w:t>
            </w:r>
            <w:r>
              <w:rPr>
                <w:rFonts w:ascii="宋体" w:hAnsi="宋体"/>
                <w:bCs/>
                <w:color w:val="auto"/>
                <w:szCs w:val="21"/>
                <w:highlight w:val="none"/>
              </w:rPr>
              <w:t>有效期</w:t>
            </w:r>
          </w:p>
        </w:tc>
        <w:tc>
          <w:tcPr>
            <w:tcW w:w="2868" w:type="pct"/>
            <w:vAlign w:val="center"/>
          </w:tcPr>
          <w:p>
            <w:pPr>
              <w:snapToGrid w:val="0"/>
              <w:spacing w:beforeLines="50" w:afterLines="50" w:line="240" w:lineRule="auto"/>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响应有效期符合采购文件要求。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26"/>
              </w:numPr>
              <w:spacing w:line="240" w:lineRule="auto"/>
              <w:ind w:left="0" w:firstLine="0"/>
              <w:jc w:val="center"/>
              <w:rPr>
                <w:rFonts w:ascii="宋体" w:hAnsi="宋体"/>
                <w:color w:val="auto"/>
                <w:highlight w:val="none"/>
              </w:rPr>
            </w:pPr>
          </w:p>
        </w:tc>
        <w:tc>
          <w:tcPr>
            <w:tcW w:w="1769"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Cs/>
                <w:color w:val="auto"/>
                <w:szCs w:val="21"/>
                <w:highlight w:val="none"/>
              </w:rPr>
              <w:t>响应</w:t>
            </w:r>
            <w:r>
              <w:rPr>
                <w:rFonts w:ascii="宋体" w:hAnsi="宋体"/>
                <w:bCs/>
                <w:color w:val="auto"/>
                <w:szCs w:val="21"/>
                <w:highlight w:val="none"/>
              </w:rPr>
              <w:t>报价</w:t>
            </w:r>
          </w:p>
        </w:tc>
        <w:tc>
          <w:tcPr>
            <w:tcW w:w="2868" w:type="pct"/>
            <w:vAlign w:val="center"/>
          </w:tcPr>
          <w:p>
            <w:pPr>
              <w:snapToGrid w:val="0"/>
              <w:spacing w:beforeLines="50" w:afterLines="50" w:line="240" w:lineRule="auto"/>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响应报价是固定唯一价且下浮率（0%＜投标下浮率＜100%）。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26"/>
              </w:numPr>
              <w:spacing w:line="240" w:lineRule="auto"/>
              <w:ind w:left="0" w:firstLine="0"/>
              <w:jc w:val="center"/>
              <w:rPr>
                <w:rFonts w:ascii="宋体" w:hAnsi="宋体"/>
                <w:color w:val="auto"/>
                <w:highlight w:val="none"/>
              </w:rPr>
            </w:pPr>
          </w:p>
        </w:tc>
        <w:tc>
          <w:tcPr>
            <w:tcW w:w="1769" w:type="pct"/>
            <w:vAlign w:val="center"/>
          </w:tcPr>
          <w:p>
            <w:pPr>
              <w:snapToGrid w:val="0"/>
              <w:spacing w:beforeLines="50" w:afterLines="50" w:line="240" w:lineRule="auto"/>
              <w:jc w:val="center"/>
              <w:rPr>
                <w:rFonts w:ascii="宋体" w:hAnsi="宋体"/>
                <w:bCs/>
                <w:color w:val="auto"/>
                <w:szCs w:val="21"/>
                <w:highlight w:val="none"/>
              </w:rPr>
            </w:pPr>
            <w:bookmarkStart w:id="54" w:name="_Hlk69329880"/>
            <w:r>
              <w:rPr>
                <w:rFonts w:hint="eastAsia" w:ascii="宋体" w:hAnsi="宋体"/>
                <w:bCs/>
                <w:color w:val="auto"/>
                <w:szCs w:val="21"/>
                <w:highlight w:val="none"/>
              </w:rPr>
              <w:t>法定代表人证明书和</w:t>
            </w:r>
            <w:bookmarkEnd w:id="54"/>
            <w:r>
              <w:rPr>
                <w:rFonts w:hint="eastAsia" w:ascii="宋体" w:hAnsi="宋体"/>
                <w:bCs/>
                <w:color w:val="auto"/>
                <w:szCs w:val="21"/>
                <w:highlight w:val="none"/>
              </w:rPr>
              <w:t>法定代表人授权书</w:t>
            </w:r>
          </w:p>
        </w:tc>
        <w:tc>
          <w:tcPr>
            <w:tcW w:w="2868" w:type="pct"/>
            <w:vAlign w:val="center"/>
          </w:tcPr>
          <w:p>
            <w:pPr>
              <w:snapToGrid w:val="0"/>
              <w:spacing w:beforeLines="50" w:afterLines="50" w:line="240" w:lineRule="auto"/>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响应供应商提供的法定代表人证明书及法定代表人授权书原件，若法定代表人作为供应商代表参加响应，则只需提供法定代表人证明书，按格式要求签署并盖章。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26"/>
              </w:numPr>
              <w:spacing w:line="240" w:lineRule="auto"/>
              <w:ind w:left="0" w:firstLine="0"/>
              <w:jc w:val="center"/>
              <w:rPr>
                <w:rFonts w:ascii="宋体" w:hAnsi="宋体"/>
                <w:color w:val="auto"/>
                <w:highlight w:val="none"/>
              </w:rPr>
            </w:pPr>
          </w:p>
        </w:tc>
        <w:tc>
          <w:tcPr>
            <w:tcW w:w="1769"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Cs/>
                <w:color w:val="auto"/>
                <w:szCs w:val="21"/>
                <w:highlight w:val="none"/>
              </w:rPr>
              <w:t>响应</w:t>
            </w:r>
            <w:r>
              <w:rPr>
                <w:rFonts w:ascii="宋体" w:hAnsi="宋体"/>
                <w:bCs/>
                <w:color w:val="auto"/>
                <w:szCs w:val="21"/>
                <w:highlight w:val="none"/>
              </w:rPr>
              <w:t>文件</w:t>
            </w:r>
            <w:r>
              <w:rPr>
                <w:rFonts w:hint="eastAsia" w:ascii="宋体" w:hAnsi="宋体"/>
                <w:bCs/>
                <w:color w:val="auto"/>
                <w:szCs w:val="21"/>
                <w:highlight w:val="none"/>
              </w:rPr>
              <w:t>签署或</w:t>
            </w:r>
            <w:r>
              <w:rPr>
                <w:rFonts w:ascii="宋体" w:hAnsi="宋体"/>
                <w:bCs/>
                <w:color w:val="auto"/>
                <w:szCs w:val="21"/>
                <w:highlight w:val="none"/>
              </w:rPr>
              <w:t>盖章</w:t>
            </w:r>
          </w:p>
        </w:tc>
        <w:tc>
          <w:tcPr>
            <w:tcW w:w="2868" w:type="pct"/>
            <w:vAlign w:val="center"/>
          </w:tcPr>
          <w:p>
            <w:pPr>
              <w:snapToGrid w:val="0"/>
              <w:spacing w:beforeLines="50" w:afterLines="50" w:line="240" w:lineRule="auto"/>
              <w:rPr>
                <w:rFonts w:hint="eastAsia" w:ascii="宋体" w:hAnsi="宋体" w:eastAsia="宋体" w:cs="Times New Roman"/>
                <w:bCs/>
                <w:color w:val="auto"/>
                <w:szCs w:val="21"/>
                <w:highlight w:val="none"/>
              </w:rPr>
            </w:pPr>
            <w:r>
              <w:rPr>
                <w:rFonts w:hint="eastAsia" w:ascii="宋体" w:hAnsi="宋体" w:eastAsia="宋体" w:cs="Times New Roman"/>
                <w:bCs/>
                <w:color w:val="auto"/>
                <w:szCs w:val="21"/>
                <w:highlight w:val="none"/>
              </w:rPr>
              <w:t>响应文件按照磋商文件要求签署或盖章。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26"/>
              </w:numPr>
              <w:spacing w:line="240" w:lineRule="auto"/>
              <w:ind w:left="0" w:firstLine="0"/>
              <w:jc w:val="center"/>
              <w:rPr>
                <w:rFonts w:ascii="宋体" w:hAnsi="宋体"/>
                <w:color w:val="auto"/>
                <w:highlight w:val="none"/>
              </w:rPr>
            </w:pPr>
          </w:p>
        </w:tc>
        <w:tc>
          <w:tcPr>
            <w:tcW w:w="1769" w:type="pct"/>
            <w:vAlign w:val="center"/>
          </w:tcPr>
          <w:p>
            <w:pPr>
              <w:snapToGrid w:val="0"/>
              <w:spacing w:beforeLines="50" w:afterLines="50" w:line="240" w:lineRule="auto"/>
              <w:jc w:val="center"/>
              <w:rPr>
                <w:rFonts w:ascii="宋体" w:hAnsi="宋体"/>
                <w:bCs/>
                <w:color w:val="auto"/>
                <w:szCs w:val="21"/>
                <w:highlight w:val="none"/>
              </w:rPr>
            </w:pPr>
            <w:r>
              <w:rPr>
                <w:rFonts w:hint="eastAsia" w:ascii="宋体" w:hAnsi="宋体"/>
                <w:bCs/>
                <w:color w:val="auto"/>
                <w:szCs w:val="21"/>
                <w:highlight w:val="none"/>
              </w:rPr>
              <w:t>法律、法规和规章及磋商文件规定的其他无效情形</w:t>
            </w:r>
          </w:p>
        </w:tc>
        <w:tc>
          <w:tcPr>
            <w:tcW w:w="2868" w:type="pct"/>
            <w:vAlign w:val="center"/>
          </w:tcPr>
          <w:p>
            <w:pPr>
              <w:snapToGrid w:val="0"/>
              <w:spacing w:beforeLines="50" w:afterLines="50" w:line="240" w:lineRule="auto"/>
              <w:rPr>
                <w:rFonts w:ascii="宋体" w:hAnsi="宋体"/>
                <w:bCs/>
                <w:color w:val="auto"/>
                <w:szCs w:val="21"/>
                <w:highlight w:val="none"/>
              </w:rPr>
            </w:pPr>
            <w:r>
              <w:rPr>
                <w:rFonts w:hint="eastAsia" w:ascii="宋体" w:hAnsi="宋体"/>
                <w:bCs/>
                <w:color w:val="auto"/>
                <w:szCs w:val="21"/>
                <w:highlight w:val="none"/>
              </w:rPr>
              <w:t>响应文件中不存在有关法律、法规和规章及磋商文件规定的其他无效情形。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napToGrid w:val="0"/>
              <w:spacing w:beforeLines="50" w:afterLines="50" w:line="240" w:lineRule="auto"/>
              <w:jc w:val="center"/>
              <w:rPr>
                <w:rFonts w:ascii="宋体" w:hAnsi="宋体"/>
                <w:b/>
                <w:color w:val="auto"/>
                <w:szCs w:val="21"/>
                <w:highlight w:val="none"/>
              </w:rPr>
            </w:pPr>
            <w:r>
              <w:rPr>
                <w:rFonts w:hint="eastAsia" w:ascii="宋体" w:hAnsi="宋体"/>
                <w:b/>
                <w:color w:val="auto"/>
                <w:szCs w:val="21"/>
                <w:highlight w:val="no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pacing w:beforeLines="50" w:afterLines="50" w:line="240" w:lineRule="auto"/>
              <w:jc w:val="left"/>
              <w:rPr>
                <w:rFonts w:ascii="宋体" w:hAnsi="宋体"/>
                <w:bCs/>
                <w:color w:val="auto"/>
                <w:szCs w:val="21"/>
                <w:highlight w:val="none"/>
              </w:rPr>
            </w:pPr>
            <w:r>
              <w:rPr>
                <w:rFonts w:hint="eastAsia" w:ascii="宋体" w:hAnsi="宋体"/>
                <w:bCs/>
                <w:color w:val="auto"/>
                <w:szCs w:val="21"/>
                <w:highlight w:val="none"/>
              </w:rPr>
              <w:t>填表说明：</w:t>
            </w:r>
          </w:p>
          <w:p>
            <w:pPr>
              <w:spacing w:beforeLines="50" w:afterLines="50" w:line="240" w:lineRule="auto"/>
              <w:jc w:val="left"/>
              <w:rPr>
                <w:rFonts w:ascii="宋体" w:hAnsi="宋体"/>
                <w:bCs/>
                <w:color w:val="auto"/>
                <w:szCs w:val="21"/>
                <w:highlight w:val="none"/>
              </w:rPr>
            </w:pPr>
            <w:r>
              <w:rPr>
                <w:rFonts w:hint="eastAsia" w:ascii="宋体" w:hAnsi="宋体"/>
                <w:bCs/>
                <w:color w:val="auto"/>
                <w:szCs w:val="21"/>
                <w:highlight w:val="none"/>
              </w:rPr>
              <w:t>1.“通过”打“√”，“未通过”打“×”；</w:t>
            </w:r>
          </w:p>
          <w:p>
            <w:pPr>
              <w:spacing w:beforeLines="50" w:afterLines="50" w:line="240" w:lineRule="auto"/>
              <w:jc w:val="left"/>
              <w:rPr>
                <w:rFonts w:ascii="宋体" w:hAnsi="宋体"/>
                <w:bCs/>
                <w:color w:val="auto"/>
                <w:szCs w:val="21"/>
                <w:highlight w:val="none"/>
              </w:rPr>
            </w:pPr>
            <w:r>
              <w:rPr>
                <w:rFonts w:hint="eastAsia" w:ascii="宋体" w:hAnsi="宋体"/>
                <w:bCs/>
                <w:color w:val="auto"/>
                <w:szCs w:val="21"/>
                <w:highlight w:val="none"/>
              </w:rPr>
              <w:t>2.在结论栏中填写“通过”或“未通过”；</w:t>
            </w:r>
          </w:p>
          <w:p>
            <w:pPr>
              <w:spacing w:beforeLines="50" w:afterLines="50" w:line="240" w:lineRule="auto"/>
              <w:jc w:val="left"/>
              <w:rPr>
                <w:rFonts w:ascii="宋体" w:hAnsi="宋体"/>
                <w:b/>
                <w:color w:val="auto"/>
                <w:szCs w:val="21"/>
                <w:highlight w:val="none"/>
              </w:rPr>
            </w:pPr>
            <w:r>
              <w:rPr>
                <w:rFonts w:hint="eastAsia" w:ascii="宋体" w:hAnsi="宋体"/>
                <w:bCs/>
                <w:color w:val="auto"/>
                <w:szCs w:val="21"/>
                <w:highlight w:val="none"/>
              </w:rPr>
              <w:t>3.投标人有一个“未通过”，审查结论视为“未通过”。</w:t>
            </w:r>
          </w:p>
        </w:tc>
      </w:tr>
    </w:tbl>
    <w:p>
      <w:pPr>
        <w:pStyle w:val="2"/>
        <w:ind w:firstLine="420" w:firstLineChars="200"/>
        <w:rPr>
          <w:rFonts w:ascii="宋体" w:hAnsi="宋体"/>
          <w:color w:val="auto"/>
          <w:szCs w:val="20"/>
          <w:highlight w:val="none"/>
        </w:rPr>
      </w:pPr>
      <w:bookmarkStart w:id="55" w:name="_Toc70528437"/>
      <w:bookmarkStart w:id="56" w:name="_Toc68789512"/>
      <w:bookmarkStart w:id="57" w:name="_Toc76397748"/>
      <w:bookmarkStart w:id="58" w:name="_Toc496088680"/>
      <w:bookmarkStart w:id="59" w:name="_Toc67046846"/>
      <w:bookmarkStart w:id="60" w:name="_Hlk45712320"/>
      <w:bookmarkStart w:id="61" w:name="_Toc276645572"/>
      <w:bookmarkStart w:id="62" w:name="_Toc462677180"/>
    </w:p>
    <w:p>
      <w:pPr>
        <w:pStyle w:val="126"/>
        <w:numPr>
          <w:ilvl w:val="0"/>
          <w:numId w:val="24"/>
        </w:numPr>
        <w:jc w:val="left"/>
        <w:outlineLvl w:val="2"/>
        <w:rPr>
          <w:rFonts w:ascii="宋体" w:hAnsi="宋体"/>
          <w:b/>
          <w:color w:val="auto"/>
          <w:szCs w:val="21"/>
          <w:highlight w:val="none"/>
        </w:rPr>
      </w:pPr>
      <w:r>
        <w:rPr>
          <w:rFonts w:hint="eastAsia" w:ascii="宋体" w:hAnsi="宋体"/>
          <w:b/>
          <w:color w:val="auto"/>
          <w:szCs w:val="21"/>
          <w:highlight w:val="none"/>
        </w:rPr>
        <w:t>响应文件澄清</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.1</w:t>
      </w:r>
      <w:r>
        <w:rPr>
          <w:rFonts w:hint="eastAsia" w:ascii="宋体" w:hAnsi="宋体"/>
          <w:color w:val="auto"/>
          <w:szCs w:val="20"/>
          <w:highlight w:val="none"/>
        </w:rPr>
        <w:t>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pPr>
        <w:pStyle w:val="2"/>
        <w:ind w:firstLine="420" w:firstLineChars="200"/>
        <w:rPr>
          <w:rFonts w:ascii="宋体" w:hAnsi="宋体"/>
          <w:color w:val="auto"/>
          <w:szCs w:val="20"/>
          <w:highlight w:val="none"/>
        </w:rPr>
      </w:pPr>
      <w:r>
        <w:rPr>
          <w:rFonts w:hint="eastAsia" w:ascii="宋体" w:hAnsi="宋体"/>
          <w:color w:val="auto"/>
          <w:szCs w:val="20"/>
          <w:highlight w:val="none"/>
        </w:rPr>
        <w:t>供应商需在规定时间内完成澄清（响应），并加盖供应商公章，或法定代表人签字或盖章，或法定代表人授权委托人签字或盖章。</w:t>
      </w:r>
    </w:p>
    <w:p>
      <w:pPr>
        <w:pStyle w:val="2"/>
        <w:ind w:firstLine="420" w:firstLineChars="200"/>
        <w:rPr>
          <w:rFonts w:ascii="宋体" w:hAnsi="宋体"/>
          <w:color w:val="auto"/>
          <w:szCs w:val="20"/>
          <w:highlight w:val="none"/>
        </w:rPr>
      </w:pPr>
      <w:r>
        <w:rPr>
          <w:rFonts w:hint="eastAsia" w:ascii="宋体" w:hAnsi="宋体"/>
          <w:color w:val="auto"/>
          <w:szCs w:val="20"/>
          <w:highlight w:val="none"/>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.2</w:t>
      </w:r>
      <w:r>
        <w:rPr>
          <w:rFonts w:hint="eastAsia" w:ascii="宋体" w:hAnsi="宋体"/>
          <w:color w:val="auto"/>
          <w:szCs w:val="20"/>
          <w:highlight w:val="none"/>
        </w:rPr>
        <w:t>磋商小组不接受供应商主动提出的澄清、说明或补正。</w:t>
      </w:r>
    </w:p>
    <w:p>
      <w:pPr>
        <w:pStyle w:val="2"/>
        <w:ind w:firstLine="420" w:firstLineChars="200"/>
        <w:rPr>
          <w:rFonts w:ascii="宋体" w:hAnsi="宋体"/>
          <w:color w:val="auto"/>
          <w:szCs w:val="20"/>
          <w:highlight w:val="none"/>
        </w:rPr>
      </w:pPr>
      <w:r>
        <w:rPr>
          <w:rFonts w:ascii="宋体" w:hAnsi="宋体"/>
          <w:color w:val="auto"/>
          <w:szCs w:val="20"/>
          <w:highlight w:val="none"/>
        </w:rPr>
        <w:t>2.3</w:t>
      </w:r>
      <w:r>
        <w:rPr>
          <w:rFonts w:hint="eastAsia" w:ascii="宋体" w:hAnsi="宋体"/>
          <w:color w:val="auto"/>
          <w:szCs w:val="20"/>
          <w:highlight w:val="none"/>
        </w:rPr>
        <w:t>磋商小组对供应商提交的澄清、说明或补正有疑问的，可以要求供应商进一步澄清、说明或补正。</w:t>
      </w:r>
    </w:p>
    <w:p>
      <w:pPr>
        <w:pStyle w:val="126"/>
        <w:numPr>
          <w:ilvl w:val="0"/>
          <w:numId w:val="24"/>
        </w:numPr>
        <w:jc w:val="left"/>
        <w:outlineLvl w:val="2"/>
        <w:rPr>
          <w:rFonts w:ascii="宋体" w:hAnsi="宋体"/>
          <w:b/>
          <w:color w:val="auto"/>
          <w:szCs w:val="21"/>
          <w:highlight w:val="none"/>
        </w:rPr>
      </w:pPr>
      <w:r>
        <w:rPr>
          <w:rFonts w:hint="eastAsia" w:ascii="宋体" w:hAnsi="宋体"/>
          <w:b/>
          <w:color w:val="auto"/>
          <w:szCs w:val="21"/>
          <w:highlight w:val="none"/>
        </w:rPr>
        <w:t>磋商</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w:t>
      </w:r>
      <w:r>
        <w:rPr>
          <w:rFonts w:ascii="宋体" w:hAnsi="宋体"/>
          <w:color w:val="auto"/>
          <w:szCs w:val="20"/>
          <w:highlight w:val="none"/>
        </w:rPr>
        <w:t>.1</w:t>
      </w:r>
      <w:r>
        <w:rPr>
          <w:rFonts w:hint="eastAsia" w:ascii="宋体" w:hAnsi="宋体"/>
          <w:color w:val="auto"/>
          <w:szCs w:val="20"/>
          <w:highlight w:val="none"/>
        </w:rPr>
        <w:t>磋商小组所有成员应当集中与单一供应商分别进行磋商，并给予所有参加磋商的供应商平等的磋商机会。</w:t>
      </w:r>
    </w:p>
    <w:p>
      <w:pPr>
        <w:pStyle w:val="2"/>
        <w:ind w:firstLine="420" w:firstLineChars="200"/>
        <w:rPr>
          <w:rFonts w:ascii="宋体" w:hAnsi="宋体"/>
          <w:color w:val="auto"/>
          <w:szCs w:val="20"/>
          <w:highlight w:val="none"/>
        </w:rPr>
      </w:pPr>
      <w:r>
        <w:rPr>
          <w:rFonts w:ascii="宋体" w:hAnsi="宋体"/>
          <w:color w:val="auto"/>
          <w:szCs w:val="20"/>
          <w:highlight w:val="none"/>
        </w:rPr>
        <w:t>3.2</w:t>
      </w:r>
      <w:r>
        <w:rPr>
          <w:rFonts w:hint="eastAsia" w:ascii="宋体" w:hAnsi="宋体"/>
          <w:color w:val="auto"/>
          <w:szCs w:val="20"/>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w:t>
      </w:r>
      <w:r>
        <w:rPr>
          <w:rFonts w:ascii="宋体" w:hAnsi="宋体"/>
          <w:color w:val="auto"/>
          <w:szCs w:val="20"/>
          <w:highlight w:val="none"/>
        </w:rPr>
        <w:t>.3</w:t>
      </w:r>
      <w:r>
        <w:rPr>
          <w:rFonts w:hint="eastAsia" w:ascii="宋体" w:hAnsi="宋体"/>
          <w:color w:val="auto"/>
          <w:szCs w:val="20"/>
          <w:highlight w:val="none"/>
        </w:rPr>
        <w:t>对磋商文件作出的实质性变动是磋商文件的有效组成部分，磋商小组应当及时、同时通知所有参加磋商的供应商。</w:t>
      </w:r>
    </w:p>
    <w:p>
      <w:pPr>
        <w:pStyle w:val="2"/>
        <w:ind w:firstLine="420" w:firstLineChars="200"/>
        <w:rPr>
          <w:rFonts w:ascii="宋体" w:hAnsi="宋体"/>
          <w:color w:val="auto"/>
          <w:szCs w:val="20"/>
          <w:highlight w:val="none"/>
        </w:rPr>
      </w:pPr>
      <w:r>
        <w:rPr>
          <w:rFonts w:ascii="宋体" w:hAnsi="宋体"/>
          <w:color w:val="auto"/>
          <w:szCs w:val="20"/>
          <w:highlight w:val="none"/>
        </w:rPr>
        <w:t>3.4</w:t>
      </w:r>
      <w:r>
        <w:rPr>
          <w:rFonts w:hint="eastAsia" w:ascii="宋体" w:hAnsi="宋体"/>
          <w:color w:val="auto"/>
          <w:szCs w:val="20"/>
          <w:highlight w:val="none"/>
        </w:rPr>
        <w:t>供应商应当按照磋商文件的变动情况和磋商小组的要求进行最终报价或重新提交响应文件，并由其法定代表人或授权代表签字(或盖私章)或者加盖公章。供应商为自然人的，应当由本人签字并附身份证明。</w:t>
      </w:r>
    </w:p>
    <w:p>
      <w:pPr>
        <w:pStyle w:val="126"/>
        <w:numPr>
          <w:ilvl w:val="0"/>
          <w:numId w:val="24"/>
        </w:numPr>
        <w:jc w:val="left"/>
        <w:outlineLvl w:val="2"/>
        <w:rPr>
          <w:rFonts w:ascii="宋体" w:hAnsi="宋体"/>
          <w:b/>
          <w:color w:val="auto"/>
          <w:szCs w:val="21"/>
          <w:highlight w:val="none"/>
        </w:rPr>
      </w:pPr>
      <w:r>
        <w:rPr>
          <w:rFonts w:hint="eastAsia" w:ascii="宋体" w:hAnsi="宋体"/>
          <w:b/>
          <w:color w:val="auto"/>
          <w:szCs w:val="21"/>
          <w:highlight w:val="none"/>
        </w:rPr>
        <w:t>最后报价</w:t>
      </w:r>
    </w:p>
    <w:p>
      <w:pPr>
        <w:pStyle w:val="2"/>
        <w:ind w:firstLine="420" w:firstLineChars="200"/>
        <w:rPr>
          <w:rFonts w:ascii="宋体" w:hAnsi="宋体"/>
          <w:color w:val="auto"/>
          <w:szCs w:val="20"/>
          <w:highlight w:val="none"/>
        </w:rPr>
      </w:pPr>
      <w:r>
        <w:rPr>
          <w:rFonts w:hint="eastAsia" w:ascii="宋体" w:hAnsi="宋体"/>
          <w:color w:val="auto"/>
          <w:szCs w:val="20"/>
          <w:highlight w:val="none"/>
        </w:rPr>
        <w:t>4</w:t>
      </w:r>
      <w:r>
        <w:rPr>
          <w:rFonts w:ascii="宋体" w:hAnsi="宋体"/>
          <w:color w:val="auto"/>
          <w:szCs w:val="20"/>
          <w:highlight w:val="none"/>
        </w:rPr>
        <w:t>.1</w:t>
      </w:r>
      <w:r>
        <w:rPr>
          <w:rFonts w:hint="eastAsia" w:ascii="宋体" w:hAnsi="宋体"/>
          <w:color w:val="auto"/>
          <w:szCs w:val="20"/>
          <w:highlight w:val="none"/>
        </w:rPr>
        <w:t>磋商结束后，磋商小组应当要求所有实质性响应的供应商在规定时间内提交最后报价。最后报价是供应商响应文件的有效组成部分。</w:t>
      </w:r>
    </w:p>
    <w:p>
      <w:pPr>
        <w:pStyle w:val="2"/>
        <w:ind w:firstLine="420" w:firstLineChars="200"/>
        <w:rPr>
          <w:rFonts w:ascii="宋体" w:hAnsi="宋体"/>
          <w:color w:val="auto"/>
          <w:szCs w:val="20"/>
          <w:highlight w:val="none"/>
        </w:rPr>
      </w:pPr>
      <w:r>
        <w:rPr>
          <w:rFonts w:hint="eastAsia" w:ascii="宋体" w:hAnsi="宋体"/>
          <w:color w:val="auto"/>
          <w:szCs w:val="20"/>
          <w:highlight w:val="none"/>
        </w:rPr>
        <w:t>4</w:t>
      </w:r>
      <w:r>
        <w:rPr>
          <w:rFonts w:ascii="宋体" w:hAnsi="宋体"/>
          <w:color w:val="auto"/>
          <w:szCs w:val="20"/>
          <w:highlight w:val="none"/>
        </w:rPr>
        <w:t>.2</w:t>
      </w:r>
      <w:r>
        <w:rPr>
          <w:rFonts w:hint="eastAsia" w:ascii="宋体" w:hAnsi="宋体"/>
          <w:color w:val="auto"/>
          <w:szCs w:val="20"/>
          <w:highlight w:val="none"/>
        </w:rPr>
        <w:t>已提交响应文件的供应商，在提交最后报价之前，可以根据磋商情况退出磋商。</w:t>
      </w:r>
    </w:p>
    <w:p>
      <w:pPr>
        <w:pStyle w:val="2"/>
        <w:ind w:firstLine="420" w:firstLineChars="200"/>
        <w:rPr>
          <w:rFonts w:ascii="宋体" w:hAnsi="宋体"/>
          <w:color w:val="auto"/>
          <w:szCs w:val="20"/>
          <w:highlight w:val="none"/>
        </w:rPr>
      </w:pPr>
      <w:r>
        <w:rPr>
          <w:rFonts w:ascii="宋体" w:hAnsi="宋体"/>
          <w:color w:val="auto"/>
          <w:szCs w:val="20"/>
          <w:highlight w:val="none"/>
        </w:rPr>
        <w:t>4.3</w:t>
      </w:r>
      <w:r>
        <w:rPr>
          <w:rFonts w:hint="eastAsia" w:ascii="宋体" w:hAnsi="宋体"/>
          <w:color w:val="auto"/>
          <w:szCs w:val="20"/>
          <w:highlight w:val="none"/>
        </w:rPr>
        <w:t>除法规规定的特殊性情形外，提交最后报价的供应商不得少于3家。</w:t>
      </w:r>
    </w:p>
    <w:p>
      <w:pPr>
        <w:pStyle w:val="126"/>
        <w:numPr>
          <w:ilvl w:val="0"/>
          <w:numId w:val="24"/>
        </w:numPr>
        <w:jc w:val="left"/>
        <w:outlineLvl w:val="2"/>
        <w:rPr>
          <w:rFonts w:ascii="宋体" w:hAnsi="宋体"/>
          <w:b/>
          <w:color w:val="auto"/>
          <w:szCs w:val="21"/>
          <w:highlight w:val="none"/>
        </w:rPr>
      </w:pPr>
      <w:r>
        <w:rPr>
          <w:rFonts w:hint="eastAsia" w:ascii="宋体" w:hAnsi="宋体"/>
          <w:b/>
          <w:color w:val="auto"/>
          <w:szCs w:val="21"/>
          <w:highlight w:val="none"/>
        </w:rPr>
        <w:t>详细评审</w:t>
      </w:r>
    </w:p>
    <w:bookmarkEnd w:id="55"/>
    <w:bookmarkEnd w:id="56"/>
    <w:bookmarkEnd w:id="57"/>
    <w:bookmarkEnd w:id="58"/>
    <w:bookmarkEnd w:id="59"/>
    <w:p>
      <w:pPr>
        <w:ind w:firstLine="422" w:firstLineChars="200"/>
        <w:jc w:val="left"/>
        <w:outlineLvl w:val="3"/>
        <w:rPr>
          <w:rFonts w:ascii="宋体" w:hAnsi="宋体" w:cs="Futura-Heavy"/>
          <w:b/>
          <w:bCs/>
          <w:color w:val="auto"/>
          <w:kern w:val="0"/>
          <w:szCs w:val="21"/>
          <w:highlight w:val="none"/>
        </w:rPr>
      </w:pPr>
      <w:bookmarkStart w:id="63" w:name="_Toc67046848"/>
      <w:bookmarkStart w:id="64" w:name="_Toc6322232"/>
      <w:r>
        <w:rPr>
          <w:rFonts w:hint="eastAsia" w:ascii="宋体" w:hAnsi="宋体" w:cs="Futura-Heavy"/>
          <w:b/>
          <w:bCs/>
          <w:color w:val="auto"/>
          <w:kern w:val="0"/>
          <w:szCs w:val="21"/>
          <w:highlight w:val="none"/>
        </w:rPr>
        <w:t>表三：</w:t>
      </w:r>
      <w:r>
        <w:rPr>
          <w:rFonts w:hint="eastAsia" w:ascii="宋体" w:hAnsi="宋体" w:cs="Futura-Heavy"/>
          <w:b/>
          <w:bCs/>
          <w:color w:val="auto"/>
          <w:kern w:val="0"/>
          <w:szCs w:val="21"/>
          <w:highlight w:val="none"/>
          <w:lang w:val="en-US" w:eastAsia="zh-CN"/>
        </w:rPr>
        <w:t>技术、</w:t>
      </w:r>
      <w:r>
        <w:rPr>
          <w:rFonts w:hint="eastAsia" w:ascii="宋体" w:hAnsi="宋体" w:cs="Futura-Heavy"/>
          <w:b/>
          <w:bCs/>
          <w:color w:val="auto"/>
          <w:kern w:val="0"/>
          <w:szCs w:val="21"/>
          <w:highlight w:val="none"/>
        </w:rPr>
        <w:t>商务评分细则表（</w:t>
      </w:r>
      <w:r>
        <w:rPr>
          <w:rFonts w:hint="eastAsia" w:ascii="宋体" w:hAnsi="宋体" w:cs="Futura-Heavy"/>
          <w:b/>
          <w:bCs/>
          <w:color w:val="auto"/>
          <w:kern w:val="0"/>
          <w:szCs w:val="21"/>
          <w:highlight w:val="none"/>
          <w:lang w:val="en-US" w:eastAsia="zh-CN"/>
        </w:rPr>
        <w:t>90</w:t>
      </w:r>
      <w:r>
        <w:rPr>
          <w:rFonts w:hint="eastAsia" w:ascii="宋体" w:hAnsi="宋体" w:cs="Futura-Heavy"/>
          <w:b/>
          <w:bCs/>
          <w:color w:val="auto"/>
          <w:kern w:val="0"/>
          <w:szCs w:val="21"/>
          <w:highlight w:val="none"/>
        </w:rPr>
        <w:t>分）</w:t>
      </w:r>
      <w:bookmarkEnd w:id="63"/>
      <w:bookmarkEnd w:id="64"/>
      <w:r>
        <w:rPr>
          <w:rFonts w:ascii="宋体" w:hAnsi="宋体" w:cs="Futura-Heavy"/>
          <w:b/>
          <w:bCs/>
          <w:color w:val="auto"/>
          <w:kern w:val="0"/>
          <w:szCs w:val="21"/>
          <w:highlight w:val="none"/>
        </w:rPr>
        <w:t xml:space="preserve">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1300"/>
        <w:gridCol w:w="6274"/>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443" w:type="pct"/>
            <w:vAlign w:val="center"/>
          </w:tcPr>
          <w:p>
            <w:pPr>
              <w:spacing w:beforeLines="50" w:afterLines="50" w:line="240" w:lineRule="auto"/>
              <w:jc w:val="center"/>
              <w:rPr>
                <w:rFonts w:ascii="宋体" w:hAnsi="宋体" w:cs="等线"/>
                <w:b/>
                <w:color w:val="auto"/>
                <w:highlight w:val="none"/>
              </w:rPr>
            </w:pPr>
            <w:bookmarkStart w:id="65" w:name="_Hlk43300484"/>
            <w:r>
              <w:rPr>
                <w:rFonts w:hint="eastAsia" w:ascii="宋体" w:hAnsi="宋体" w:cs="等线"/>
                <w:b/>
                <w:color w:val="auto"/>
                <w:highlight w:val="none"/>
              </w:rPr>
              <w:t>序号</w:t>
            </w:r>
          </w:p>
        </w:tc>
        <w:tc>
          <w:tcPr>
            <w:tcW w:w="703" w:type="pct"/>
            <w:vAlign w:val="center"/>
          </w:tcPr>
          <w:p>
            <w:pPr>
              <w:spacing w:beforeLines="50" w:afterLines="50" w:line="240" w:lineRule="auto"/>
              <w:jc w:val="center"/>
              <w:rPr>
                <w:rFonts w:ascii="宋体" w:hAnsi="宋体" w:cs="等线"/>
                <w:b/>
                <w:color w:val="auto"/>
                <w:highlight w:val="none"/>
              </w:rPr>
            </w:pPr>
            <w:r>
              <w:rPr>
                <w:rFonts w:hint="eastAsia" w:ascii="宋体" w:hAnsi="宋体" w:cs="等线"/>
                <w:b/>
                <w:color w:val="auto"/>
                <w:highlight w:val="none"/>
              </w:rPr>
              <w:t>评审因素</w:t>
            </w:r>
          </w:p>
        </w:tc>
        <w:tc>
          <w:tcPr>
            <w:tcW w:w="3393" w:type="pct"/>
            <w:vAlign w:val="center"/>
          </w:tcPr>
          <w:p>
            <w:pPr>
              <w:spacing w:beforeLines="50" w:afterLines="50" w:line="240" w:lineRule="auto"/>
              <w:jc w:val="center"/>
              <w:rPr>
                <w:rFonts w:ascii="宋体" w:hAnsi="宋体" w:cs="等线"/>
                <w:b/>
                <w:color w:val="auto"/>
                <w:highlight w:val="none"/>
              </w:rPr>
            </w:pPr>
            <w:r>
              <w:rPr>
                <w:rFonts w:hint="eastAsia" w:ascii="宋体" w:hAnsi="宋体" w:cs="等线"/>
                <w:b/>
                <w:color w:val="auto"/>
                <w:highlight w:val="none"/>
              </w:rPr>
              <w:t>评审标准</w:t>
            </w:r>
          </w:p>
        </w:tc>
        <w:tc>
          <w:tcPr>
            <w:tcW w:w="459" w:type="pct"/>
            <w:vAlign w:val="center"/>
          </w:tcPr>
          <w:p>
            <w:pPr>
              <w:spacing w:beforeLines="50" w:afterLines="50" w:line="240" w:lineRule="auto"/>
              <w:jc w:val="center"/>
              <w:rPr>
                <w:rFonts w:ascii="宋体" w:hAnsi="宋体" w:cs="等线"/>
                <w:b/>
                <w:color w:val="auto"/>
                <w:highlight w:val="none"/>
              </w:rPr>
            </w:pPr>
            <w:r>
              <w:rPr>
                <w:rFonts w:hint="eastAsia" w:ascii="宋体" w:hAnsi="宋体" w:cs="等线"/>
                <w:b/>
                <w:color w:val="auto"/>
                <w:highlight w:val="none"/>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43" w:type="pct"/>
            <w:vAlign w:val="center"/>
          </w:tcPr>
          <w:p>
            <w:pPr>
              <w:spacing w:beforeLines="50" w:afterLines="50"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703" w:type="pct"/>
            <w:vAlign w:val="center"/>
          </w:tcPr>
          <w:p>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rPr>
              <w:t>综合实力</w:t>
            </w:r>
          </w:p>
        </w:tc>
        <w:tc>
          <w:tcPr>
            <w:tcW w:w="339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根据投标人的公司架构、配送能力、质量认证、资质（技术）证书、职称证书荣誉获奖情况等进行综合评价：</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综合实力强，得</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综合实力较强，得</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综合实力一般，得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p>
          <w:p>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rPr>
              <w:t>（须提供相关证明文件复印件加盖公章，不提供不得分）</w:t>
            </w:r>
          </w:p>
        </w:tc>
        <w:tc>
          <w:tcPr>
            <w:tcW w:w="459" w:type="pct"/>
            <w:vAlign w:val="center"/>
          </w:tcPr>
          <w:p>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443"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70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质量控制</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方案</w:t>
            </w:r>
          </w:p>
        </w:tc>
        <w:tc>
          <w:tcPr>
            <w:tcW w:w="339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对质量控制方案进行评分（包含原材料的来源、供应商的选定、选材标准、加工包装、运输途中、送达采购人指定地后的质量控制方案）：</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方案非常完善，各项流程详细、清晰、合理，可操作性强，</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10分；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方案较为完善，各项流程较为详细、清晰、合理，可操作性一般，</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6分；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方案较差，各项流程及可操作性较差，</w:t>
            </w:r>
            <w:r>
              <w:rPr>
                <w:rFonts w:hint="eastAsia" w:ascii="宋体" w:hAnsi="宋体" w:eastAsia="宋体" w:cs="宋体"/>
                <w:color w:val="auto"/>
                <w:sz w:val="21"/>
                <w:szCs w:val="21"/>
                <w:lang w:val="en-US" w:eastAsia="zh-CN"/>
              </w:rPr>
              <w:t>得</w:t>
            </w:r>
            <w:r>
              <w:rPr>
                <w:rFonts w:hint="eastAsia" w:ascii="宋体" w:hAnsi="宋体" w:cs="宋体"/>
                <w:color w:val="auto"/>
                <w:sz w:val="21"/>
                <w:szCs w:val="21"/>
                <w:lang w:val="en-US" w:eastAsia="zh-CN"/>
              </w:rPr>
              <w:t>2</w:t>
            </w:r>
            <w:r>
              <w:rPr>
                <w:rFonts w:hint="eastAsia" w:ascii="宋体" w:hAnsi="宋体" w:eastAsia="宋体" w:cs="宋体"/>
                <w:color w:val="auto"/>
                <w:sz w:val="21"/>
                <w:szCs w:val="21"/>
              </w:rPr>
              <w:t>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没有提供方案</w:t>
            </w:r>
            <w:r>
              <w:rPr>
                <w:rFonts w:hint="eastAsia" w:ascii="宋体" w:hAnsi="宋体" w:cs="宋体"/>
                <w:color w:val="auto"/>
                <w:sz w:val="21"/>
                <w:szCs w:val="21"/>
                <w:lang w:val="en-US" w:eastAsia="zh-CN"/>
              </w:rPr>
              <w:t>得0</w:t>
            </w:r>
            <w:r>
              <w:rPr>
                <w:rFonts w:hint="eastAsia" w:ascii="宋体" w:hAnsi="宋体" w:eastAsia="宋体" w:cs="宋体"/>
                <w:color w:val="auto"/>
                <w:sz w:val="21"/>
                <w:szCs w:val="21"/>
              </w:rPr>
              <w:t>分。</w:t>
            </w:r>
          </w:p>
        </w:tc>
        <w:tc>
          <w:tcPr>
            <w:tcW w:w="459"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43"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70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配送方案</w:t>
            </w:r>
          </w:p>
        </w:tc>
        <w:tc>
          <w:tcPr>
            <w:tcW w:w="339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对投标文件中投标人的配送方案进行评分（包含对本项目的整体配送计划方案、流程控制、质量管理、食材数量及总类管理、采购计划单及送货时间管理、安全管理、验货标准）：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各项标准合理，工作流程及方案非常完善，可操作性强，</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10分；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各项标准较为合理，工作流程及方案比较完善，有可操作性，</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6分；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各项标准不完全合理，工作流程及方案可操作较差，</w:t>
            </w:r>
            <w:r>
              <w:rPr>
                <w:rFonts w:hint="eastAsia" w:ascii="宋体" w:hAnsi="宋体" w:eastAsia="宋体" w:cs="宋体"/>
                <w:color w:val="auto"/>
                <w:sz w:val="21"/>
                <w:szCs w:val="21"/>
                <w:lang w:val="en-US" w:eastAsia="zh-CN"/>
              </w:rPr>
              <w:t>得</w:t>
            </w:r>
            <w:r>
              <w:rPr>
                <w:rFonts w:hint="eastAsia" w:ascii="宋体" w:hAnsi="宋体" w:cs="宋体"/>
                <w:color w:val="auto"/>
                <w:sz w:val="21"/>
                <w:szCs w:val="21"/>
                <w:lang w:val="en-US" w:eastAsia="zh-CN"/>
              </w:rPr>
              <w:t>2</w:t>
            </w:r>
            <w:r>
              <w:rPr>
                <w:rFonts w:hint="eastAsia" w:ascii="宋体" w:hAnsi="宋体" w:eastAsia="宋体" w:cs="宋体"/>
                <w:color w:val="auto"/>
                <w:sz w:val="21"/>
                <w:szCs w:val="21"/>
              </w:rPr>
              <w:t>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没有提供方案得</w:t>
            </w:r>
            <w:r>
              <w:rPr>
                <w:rFonts w:hint="eastAsia" w:ascii="宋体" w:hAnsi="宋体" w:cs="宋体"/>
                <w:color w:val="auto"/>
                <w:sz w:val="21"/>
                <w:szCs w:val="21"/>
                <w:lang w:val="en-US" w:eastAsia="zh-CN"/>
              </w:rPr>
              <w:t>0</w:t>
            </w:r>
            <w:r>
              <w:rPr>
                <w:rFonts w:hint="eastAsia" w:ascii="宋体" w:hAnsi="宋体" w:eastAsia="宋体" w:cs="宋体"/>
                <w:color w:val="auto"/>
                <w:sz w:val="21"/>
                <w:szCs w:val="21"/>
              </w:rPr>
              <w:t>分</w:t>
            </w:r>
          </w:p>
        </w:tc>
        <w:tc>
          <w:tcPr>
            <w:tcW w:w="459"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43"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70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服务承诺</w:t>
            </w:r>
          </w:p>
        </w:tc>
        <w:tc>
          <w:tcPr>
            <w:tcW w:w="339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对投标文件中的服务承诺进行评分（包括配送货物的标准、合格率、利用率及退换货和特殊情况下的应急保障等）：</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方案非常完善，各项流程详细、清晰、合理，可操作性强，</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10分；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方案较为完善，各项流程较为详细、清晰、合理，可操作性一般，</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6分；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方案较差，各项流程及可操作性较差，</w:t>
            </w:r>
            <w:r>
              <w:rPr>
                <w:rFonts w:hint="eastAsia" w:ascii="宋体" w:hAnsi="宋体" w:eastAsia="宋体" w:cs="宋体"/>
                <w:color w:val="auto"/>
                <w:sz w:val="21"/>
                <w:szCs w:val="21"/>
                <w:lang w:val="en-US" w:eastAsia="zh-CN"/>
              </w:rPr>
              <w:t>得</w:t>
            </w:r>
            <w:r>
              <w:rPr>
                <w:rFonts w:hint="eastAsia" w:ascii="宋体" w:hAnsi="宋体" w:cs="宋体"/>
                <w:color w:val="auto"/>
                <w:sz w:val="21"/>
                <w:szCs w:val="21"/>
                <w:lang w:val="en-US" w:eastAsia="zh-CN"/>
              </w:rPr>
              <w:t>2</w:t>
            </w:r>
            <w:r>
              <w:rPr>
                <w:rFonts w:hint="eastAsia" w:ascii="宋体" w:hAnsi="宋体" w:eastAsia="宋体" w:cs="宋体"/>
                <w:color w:val="auto"/>
                <w:sz w:val="21"/>
                <w:szCs w:val="21"/>
              </w:rPr>
              <w:t>分；</w:t>
            </w:r>
          </w:p>
          <w:p>
            <w:pPr>
              <w:widowControl/>
              <w:spacing w:line="360" w:lineRule="exact"/>
              <w:jc w:val="left"/>
              <w:rPr>
                <w:rFonts w:hint="eastAsia" w:eastAsia="宋体"/>
                <w:color w:val="auto"/>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没有提供方案</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得</w:t>
            </w:r>
            <w:r>
              <w:rPr>
                <w:rFonts w:hint="eastAsia" w:ascii="宋体" w:hAnsi="宋体" w:cs="宋体"/>
                <w:color w:val="auto"/>
                <w:sz w:val="21"/>
                <w:szCs w:val="21"/>
                <w:lang w:val="en-US" w:eastAsia="zh-CN"/>
              </w:rPr>
              <w:t>0</w:t>
            </w:r>
            <w:r>
              <w:rPr>
                <w:rFonts w:hint="eastAsia" w:ascii="宋体" w:hAnsi="宋体" w:eastAsia="宋体" w:cs="宋体"/>
                <w:color w:val="auto"/>
                <w:sz w:val="21"/>
                <w:szCs w:val="21"/>
              </w:rPr>
              <w:t>分</w:t>
            </w:r>
            <w:r>
              <w:rPr>
                <w:rFonts w:hint="eastAsia" w:ascii="宋体" w:hAnsi="宋体" w:cs="宋体"/>
                <w:color w:val="auto"/>
                <w:sz w:val="21"/>
                <w:szCs w:val="21"/>
                <w:lang w:eastAsia="zh-CN"/>
              </w:rPr>
              <w:t>。</w:t>
            </w:r>
          </w:p>
        </w:tc>
        <w:tc>
          <w:tcPr>
            <w:tcW w:w="459"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43"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703" w:type="pct"/>
            <w:vAlign w:val="center"/>
          </w:tcPr>
          <w:p>
            <w:pPr>
              <w:widowControl/>
              <w:spacing w:line="360" w:lineRule="exact"/>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车辆数量</w:t>
            </w:r>
          </w:p>
        </w:tc>
        <w:tc>
          <w:tcPr>
            <w:tcW w:w="339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根据投标人投入本项目的配送运输车辆数量进行评分：</w:t>
            </w:r>
          </w:p>
          <w:p>
            <w:pPr>
              <w:widowControl/>
              <w:spacing w:line="360" w:lineRule="exact"/>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1.投入一辆冷藏运输车得3分</w:t>
            </w:r>
            <w:r>
              <w:rPr>
                <w:rFonts w:hint="eastAsia" w:ascii="宋体" w:hAnsi="宋体" w:cs="宋体"/>
                <w:color w:val="auto"/>
                <w:sz w:val="21"/>
                <w:szCs w:val="21"/>
                <w:lang w:eastAsia="zh-CN"/>
              </w:rPr>
              <w:t>；</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2.投入一辆普通运输车辆得1分，最高</w:t>
            </w:r>
            <w:r>
              <w:rPr>
                <w:rFonts w:hint="eastAsia" w:ascii="宋体" w:hAnsi="宋体" w:cs="宋体"/>
                <w:color w:val="auto"/>
                <w:sz w:val="21"/>
                <w:szCs w:val="21"/>
                <w:lang w:val="en-US" w:eastAsia="zh-CN"/>
              </w:rPr>
              <w:t>得</w:t>
            </w:r>
            <w:r>
              <w:rPr>
                <w:rFonts w:hint="eastAsia" w:ascii="宋体" w:hAnsi="宋体" w:eastAsia="宋体" w:cs="宋体"/>
                <w:color w:val="auto"/>
                <w:sz w:val="21"/>
                <w:szCs w:val="21"/>
              </w:rPr>
              <w:t>3分。</w:t>
            </w:r>
          </w:p>
          <w:p>
            <w:pPr>
              <w:widowControl/>
              <w:spacing w:line="360" w:lineRule="exact"/>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注：提供</w:t>
            </w:r>
            <w:r>
              <w:rPr>
                <w:rFonts w:hint="eastAsia" w:ascii="宋体" w:hAnsi="宋体" w:cs="宋体"/>
                <w:color w:val="auto"/>
                <w:sz w:val="21"/>
                <w:szCs w:val="21"/>
                <w:lang w:val="en-US" w:eastAsia="zh-CN"/>
              </w:rPr>
              <w:t>车辆的相关</w:t>
            </w:r>
            <w:r>
              <w:rPr>
                <w:rFonts w:hint="eastAsia" w:ascii="宋体" w:hAnsi="宋体" w:eastAsia="宋体" w:cs="宋体"/>
                <w:color w:val="auto"/>
                <w:sz w:val="21"/>
                <w:szCs w:val="21"/>
              </w:rPr>
              <w:t>证明材料，</w:t>
            </w:r>
            <w:r>
              <w:rPr>
                <w:rFonts w:hint="eastAsia" w:ascii="宋体" w:hAnsi="宋体" w:cs="宋体"/>
                <w:color w:val="auto"/>
                <w:sz w:val="21"/>
                <w:szCs w:val="21"/>
                <w:lang w:val="en-US" w:eastAsia="zh-CN"/>
              </w:rPr>
              <w:t>不提供</w:t>
            </w:r>
            <w:r>
              <w:rPr>
                <w:rFonts w:hint="eastAsia" w:ascii="宋体" w:hAnsi="宋体" w:eastAsia="宋体" w:cs="宋体"/>
                <w:color w:val="auto"/>
                <w:sz w:val="21"/>
                <w:szCs w:val="21"/>
              </w:rPr>
              <w:t>不得分</w:t>
            </w:r>
            <w:r>
              <w:rPr>
                <w:rFonts w:hint="eastAsia" w:ascii="宋体" w:hAnsi="宋体" w:cs="宋体"/>
                <w:color w:val="auto"/>
                <w:sz w:val="21"/>
                <w:szCs w:val="21"/>
                <w:lang w:eastAsia="zh-CN"/>
              </w:rPr>
              <w:t>。</w:t>
            </w:r>
          </w:p>
        </w:tc>
        <w:tc>
          <w:tcPr>
            <w:tcW w:w="459"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7" w:hRule="atLeast"/>
          <w:jc w:val="center"/>
        </w:trPr>
        <w:tc>
          <w:tcPr>
            <w:tcW w:w="443"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c>
          <w:tcPr>
            <w:tcW w:w="703" w:type="pct"/>
            <w:vAlign w:val="center"/>
          </w:tcPr>
          <w:p>
            <w:pPr>
              <w:widowControl/>
              <w:spacing w:line="360" w:lineRule="exact"/>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拟投入人员</w:t>
            </w:r>
          </w:p>
        </w:tc>
        <w:tc>
          <w:tcPr>
            <w:tcW w:w="339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根据投标人拟投入本项目的人员情况进行评审：</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1.投入本项目人员，每具备一项食品安全管理员证书得2分，最高6分；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2.投入本项目人员数量，每提供1人得0.5分，最高</w:t>
            </w:r>
            <w:r>
              <w:rPr>
                <w:rFonts w:hint="eastAsia" w:ascii="宋体" w:hAnsi="宋体" w:cs="宋体"/>
                <w:color w:val="auto"/>
                <w:sz w:val="21"/>
                <w:szCs w:val="21"/>
                <w:lang w:val="en-US" w:eastAsia="zh-CN"/>
              </w:rPr>
              <w:t>得</w:t>
            </w:r>
            <w:r>
              <w:rPr>
                <w:rFonts w:hint="eastAsia" w:ascii="宋体" w:hAnsi="宋体" w:eastAsia="宋体" w:cs="宋体"/>
                <w:color w:val="auto"/>
                <w:sz w:val="21"/>
                <w:szCs w:val="21"/>
              </w:rPr>
              <w:t>4分。</w:t>
            </w:r>
          </w:p>
          <w:p>
            <w:pPr>
              <w:widowControl/>
              <w:spacing w:line="360" w:lineRule="exact"/>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注：提供投入人员的相关证书、健康证明复印件，</w:t>
            </w:r>
            <w:r>
              <w:rPr>
                <w:rFonts w:hint="eastAsia" w:ascii="宋体" w:hAnsi="宋体" w:cs="宋体"/>
                <w:color w:val="auto"/>
                <w:sz w:val="21"/>
                <w:szCs w:val="21"/>
                <w:lang w:val="en-US" w:eastAsia="zh-CN"/>
              </w:rPr>
              <w:t>不</w:t>
            </w:r>
            <w:r>
              <w:rPr>
                <w:rFonts w:hint="eastAsia" w:ascii="宋体" w:hAnsi="宋体" w:eastAsia="宋体" w:cs="宋体"/>
                <w:color w:val="auto"/>
                <w:sz w:val="21"/>
                <w:szCs w:val="21"/>
              </w:rPr>
              <w:t>提供不得分.</w:t>
            </w:r>
          </w:p>
        </w:tc>
        <w:tc>
          <w:tcPr>
            <w:tcW w:w="459"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43"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p>
        </w:tc>
        <w:tc>
          <w:tcPr>
            <w:tcW w:w="703" w:type="pct"/>
            <w:vAlign w:val="center"/>
          </w:tcPr>
          <w:p>
            <w:pPr>
              <w:widowControl/>
              <w:spacing w:line="360" w:lineRule="exact"/>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服务便捷性</w:t>
            </w:r>
          </w:p>
        </w:tc>
        <w:tc>
          <w:tcPr>
            <w:tcW w:w="339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承诺接到采购人通知后20分钟内到达现场，</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12分；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响应时间较最快、承诺接到采购人通知后30分钟内到达现场，</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8分；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响应时间一般，承诺接到采购人通知后1小时内到达现场，</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4分；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响应时间慢、承诺接到采购人通知后2小时内到达现场，</w:t>
            </w:r>
            <w:r>
              <w:rPr>
                <w:rFonts w:hint="eastAsia" w:ascii="宋体" w:hAnsi="宋体" w:eastAsia="宋体" w:cs="宋体"/>
                <w:color w:val="auto"/>
                <w:sz w:val="21"/>
                <w:szCs w:val="21"/>
                <w:lang w:val="en-US" w:eastAsia="zh-CN"/>
              </w:rPr>
              <w:t>得</w:t>
            </w:r>
            <w:r>
              <w:rPr>
                <w:rFonts w:hint="eastAsia" w:ascii="宋体" w:hAnsi="宋体" w:eastAsia="宋体" w:cs="宋体"/>
                <w:color w:val="auto"/>
                <w:sz w:val="21"/>
                <w:szCs w:val="21"/>
              </w:rPr>
              <w:t>1分。</w:t>
            </w:r>
          </w:p>
          <w:p>
            <w:pPr>
              <w:widowControl/>
              <w:spacing w:line="360" w:lineRule="exact"/>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注：提供相关证明文件或承诺函。</w:t>
            </w:r>
          </w:p>
        </w:tc>
        <w:tc>
          <w:tcPr>
            <w:tcW w:w="459"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43"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w:t>
            </w:r>
          </w:p>
        </w:tc>
        <w:tc>
          <w:tcPr>
            <w:tcW w:w="703" w:type="pct"/>
            <w:vAlign w:val="center"/>
          </w:tcPr>
          <w:p>
            <w:pPr>
              <w:widowControl/>
              <w:spacing w:line="360" w:lineRule="exact"/>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同类项目</w:t>
            </w:r>
            <w:r>
              <w:rPr>
                <w:rFonts w:hint="eastAsia" w:ascii="宋体" w:hAnsi="宋体" w:cs="宋体"/>
                <w:color w:val="auto"/>
                <w:sz w:val="21"/>
                <w:szCs w:val="21"/>
                <w:lang w:val="en-US" w:eastAsia="zh-CN"/>
              </w:rPr>
              <w:t>业绩</w:t>
            </w:r>
          </w:p>
        </w:tc>
        <w:tc>
          <w:tcPr>
            <w:tcW w:w="339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每提供一个同类项目业绩得</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分，</w:t>
            </w:r>
            <w:r>
              <w:rPr>
                <w:rFonts w:hint="eastAsia" w:ascii="宋体" w:hAnsi="宋体" w:cs="宋体"/>
                <w:color w:val="auto"/>
                <w:sz w:val="21"/>
                <w:szCs w:val="21"/>
                <w:lang w:val="en-US" w:eastAsia="zh-CN"/>
              </w:rPr>
              <w:t>本项</w:t>
            </w:r>
            <w:r>
              <w:rPr>
                <w:rFonts w:hint="eastAsia" w:ascii="宋体" w:hAnsi="宋体" w:eastAsia="宋体" w:cs="宋体"/>
                <w:color w:val="auto"/>
                <w:sz w:val="21"/>
                <w:szCs w:val="21"/>
              </w:rPr>
              <w:t>最高</w:t>
            </w:r>
            <w:r>
              <w:rPr>
                <w:rFonts w:hint="eastAsia" w:ascii="宋体" w:hAnsi="宋体" w:cs="宋体"/>
                <w:color w:val="auto"/>
                <w:sz w:val="21"/>
                <w:szCs w:val="21"/>
                <w:lang w:val="en-US" w:eastAsia="zh-CN"/>
              </w:rPr>
              <w:t>得</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分。</w:t>
            </w:r>
          </w:p>
          <w:p>
            <w:pPr>
              <w:widowControl/>
              <w:spacing w:line="360" w:lineRule="exact"/>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注：提供</w:t>
            </w:r>
            <w:r>
              <w:rPr>
                <w:rFonts w:hint="eastAsia" w:ascii="宋体" w:hAnsi="宋体" w:eastAsia="宋体" w:cs="宋体"/>
                <w:color w:val="auto"/>
                <w:sz w:val="21"/>
                <w:szCs w:val="21"/>
                <w:lang w:val="en-US" w:eastAsia="zh-CN"/>
              </w:rPr>
              <w:t>相关</w:t>
            </w:r>
            <w:r>
              <w:rPr>
                <w:rFonts w:hint="eastAsia" w:ascii="宋体" w:hAnsi="宋体" w:eastAsia="宋体" w:cs="宋体"/>
                <w:color w:val="auto"/>
                <w:sz w:val="21"/>
                <w:szCs w:val="21"/>
              </w:rPr>
              <w:t>合同复印件加盖公章。</w:t>
            </w:r>
          </w:p>
        </w:tc>
        <w:tc>
          <w:tcPr>
            <w:tcW w:w="459" w:type="pct"/>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43"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w:t>
            </w:r>
          </w:p>
        </w:tc>
        <w:tc>
          <w:tcPr>
            <w:tcW w:w="70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食品安全责任保险</w:t>
            </w:r>
          </w:p>
        </w:tc>
        <w:tc>
          <w:tcPr>
            <w:tcW w:w="3393" w:type="pct"/>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投标人有购买有效的相关食品安全责任险</w:t>
            </w:r>
            <w:bookmarkStart w:id="210" w:name="_GoBack"/>
            <w:bookmarkEnd w:id="210"/>
            <w:r>
              <w:rPr>
                <w:rFonts w:hint="eastAsia" w:ascii="宋体" w:hAnsi="宋体" w:eastAsia="宋体" w:cs="宋体"/>
                <w:color w:val="auto"/>
                <w:sz w:val="21"/>
                <w:szCs w:val="21"/>
              </w:rPr>
              <w:t>：</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1.投保金额≥1000万元，每次事故赔偿限额≥100万元，每人赔偿限额≥20万元，得</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2.500万元≤投保金额＜1000万元，50万元≤每次事故赔偿限额＜100万元，10万元≤每人赔偿限额＜20万元，得</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3.投保金额＜500万元，每次事故赔偿限额＜50万元，每人赔偿限额＜10万元，得</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分。</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注：上述得分档判定按就低原则，例：500万元≤投保金额，50万元≤每次事故赔偿限额，每人赔偿限额＜10万元，得</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分。须提供食品安全责任险投保单及发票复印件</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或银行支付证明</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作为评审依据，没有提供不得分。</w:t>
            </w:r>
          </w:p>
        </w:tc>
        <w:tc>
          <w:tcPr>
            <w:tcW w:w="459" w:type="pct"/>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p>
        </w:tc>
      </w:tr>
      <w:bookmarkEnd w:id="65"/>
    </w:tbl>
    <w:p>
      <w:pPr>
        <w:pStyle w:val="45"/>
        <w:ind w:left="0" w:leftChars="0" w:firstLine="0" w:firstLineChars="0"/>
        <w:rPr>
          <w:rFonts w:ascii="宋体" w:hAnsi="宋体"/>
          <w:color w:val="auto"/>
          <w:highlight w:val="none"/>
        </w:rPr>
      </w:pPr>
    </w:p>
    <w:p>
      <w:pPr>
        <w:rPr>
          <w:rFonts w:hint="eastAsia" w:ascii="宋体" w:hAnsi="宋体" w:cs="Futura-Heavy"/>
          <w:b/>
          <w:bCs/>
          <w:color w:val="auto"/>
          <w:kern w:val="0"/>
          <w:szCs w:val="21"/>
          <w:highlight w:val="none"/>
        </w:rPr>
      </w:pPr>
      <w:bookmarkStart w:id="66" w:name="_Toc67046847"/>
      <w:bookmarkStart w:id="67" w:name="_Toc6322231"/>
      <w:r>
        <w:rPr>
          <w:rFonts w:hint="eastAsia" w:ascii="宋体" w:hAnsi="宋体" w:cs="Futura-Heavy"/>
          <w:b/>
          <w:bCs/>
          <w:color w:val="auto"/>
          <w:kern w:val="0"/>
          <w:szCs w:val="21"/>
          <w:highlight w:val="none"/>
        </w:rPr>
        <w:br w:type="page"/>
      </w:r>
    </w:p>
    <w:p>
      <w:pPr>
        <w:ind w:firstLine="422" w:firstLineChars="200"/>
        <w:jc w:val="left"/>
        <w:outlineLvl w:val="3"/>
        <w:rPr>
          <w:rFonts w:ascii="宋体" w:hAnsi="宋体" w:cs="Futura-Heavy"/>
          <w:b/>
          <w:bCs/>
          <w:color w:val="auto"/>
          <w:kern w:val="0"/>
          <w:szCs w:val="21"/>
          <w:highlight w:val="none"/>
        </w:rPr>
      </w:pPr>
      <w:r>
        <w:rPr>
          <w:rFonts w:hint="eastAsia" w:ascii="宋体" w:hAnsi="宋体" w:cs="Futura-Heavy"/>
          <w:b/>
          <w:bCs/>
          <w:color w:val="auto"/>
          <w:kern w:val="0"/>
          <w:szCs w:val="21"/>
          <w:highlight w:val="none"/>
        </w:rPr>
        <w:t>表四：</w:t>
      </w:r>
      <w:bookmarkEnd w:id="66"/>
      <w:bookmarkEnd w:id="67"/>
      <w:bookmarkStart w:id="68" w:name="_Toc67046849"/>
      <w:r>
        <w:rPr>
          <w:rFonts w:hint="eastAsia" w:ascii="宋体" w:hAnsi="宋体" w:cs="Futura-Heavy"/>
          <w:b/>
          <w:bCs/>
          <w:color w:val="auto"/>
          <w:kern w:val="0"/>
          <w:szCs w:val="21"/>
          <w:highlight w:val="none"/>
        </w:rPr>
        <w:t>价格</w:t>
      </w:r>
      <w:r>
        <w:rPr>
          <w:rFonts w:ascii="宋体" w:hAnsi="宋体" w:cs="Futura-Heavy"/>
          <w:b/>
          <w:bCs/>
          <w:color w:val="auto"/>
          <w:kern w:val="0"/>
          <w:szCs w:val="21"/>
          <w:highlight w:val="none"/>
        </w:rPr>
        <w:t>评分细则</w:t>
      </w:r>
      <w:r>
        <w:rPr>
          <w:rFonts w:hint="eastAsia" w:ascii="宋体" w:hAnsi="宋体" w:cs="Futura-Heavy"/>
          <w:b/>
          <w:bCs/>
          <w:color w:val="auto"/>
          <w:kern w:val="0"/>
          <w:szCs w:val="21"/>
          <w:highlight w:val="none"/>
        </w:rPr>
        <w:t>表（10分）</w:t>
      </w:r>
      <w:bookmarkEnd w:id="68"/>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054"/>
        <w:gridCol w:w="6568"/>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431" w:type="pct"/>
            <w:vAlign w:val="center"/>
          </w:tcPr>
          <w:p>
            <w:pPr>
              <w:spacing w:beforeLines="50" w:afterLines="50" w:line="240" w:lineRule="auto"/>
              <w:jc w:val="center"/>
              <w:rPr>
                <w:rFonts w:ascii="宋体" w:hAnsi="宋体" w:cs="@文鼎CS中黑"/>
                <w:b/>
                <w:bCs/>
                <w:color w:val="auto"/>
                <w:szCs w:val="21"/>
                <w:highlight w:val="none"/>
              </w:rPr>
            </w:pPr>
            <w:r>
              <w:rPr>
                <w:rFonts w:hint="eastAsia" w:ascii="宋体" w:hAnsi="宋体" w:cs="@文鼎CS中黑"/>
                <w:b/>
                <w:bCs/>
                <w:color w:val="auto"/>
                <w:szCs w:val="21"/>
                <w:highlight w:val="none"/>
              </w:rPr>
              <w:t>序号</w:t>
            </w:r>
          </w:p>
        </w:tc>
        <w:tc>
          <w:tcPr>
            <w:tcW w:w="585" w:type="pct"/>
            <w:vAlign w:val="center"/>
          </w:tcPr>
          <w:p>
            <w:pPr>
              <w:spacing w:beforeLines="50" w:afterLines="50" w:line="240" w:lineRule="auto"/>
              <w:jc w:val="center"/>
              <w:rPr>
                <w:rFonts w:ascii="宋体" w:hAnsi="宋体" w:cs="等线"/>
                <w:b/>
                <w:color w:val="auto"/>
                <w:highlight w:val="none"/>
              </w:rPr>
            </w:pPr>
            <w:r>
              <w:rPr>
                <w:rFonts w:hint="eastAsia" w:ascii="宋体" w:hAnsi="宋体" w:cs="等线"/>
                <w:b/>
                <w:color w:val="auto"/>
                <w:highlight w:val="none"/>
              </w:rPr>
              <w:t>评审因素</w:t>
            </w:r>
          </w:p>
        </w:tc>
        <w:tc>
          <w:tcPr>
            <w:tcW w:w="3568" w:type="pct"/>
            <w:vAlign w:val="center"/>
          </w:tcPr>
          <w:p>
            <w:pPr>
              <w:spacing w:beforeLines="50" w:afterLines="50" w:line="240" w:lineRule="auto"/>
              <w:jc w:val="center"/>
              <w:rPr>
                <w:rFonts w:ascii="宋体" w:hAnsi="宋体" w:cs="等线"/>
                <w:b/>
                <w:color w:val="auto"/>
                <w:highlight w:val="none"/>
              </w:rPr>
            </w:pPr>
            <w:r>
              <w:rPr>
                <w:rFonts w:hint="eastAsia" w:ascii="宋体" w:hAnsi="宋体" w:cs="等线"/>
                <w:b/>
                <w:color w:val="auto"/>
                <w:highlight w:val="none"/>
              </w:rPr>
              <w:t>评审标准</w:t>
            </w:r>
          </w:p>
        </w:tc>
        <w:tc>
          <w:tcPr>
            <w:tcW w:w="416" w:type="pct"/>
            <w:vAlign w:val="center"/>
          </w:tcPr>
          <w:p>
            <w:pPr>
              <w:spacing w:beforeLines="50" w:afterLines="50" w:line="240" w:lineRule="auto"/>
              <w:jc w:val="center"/>
              <w:rPr>
                <w:rFonts w:ascii="宋体" w:hAnsi="宋体"/>
                <w:color w:val="auto"/>
                <w:szCs w:val="21"/>
                <w:highlight w:val="none"/>
              </w:rPr>
            </w:pPr>
            <w:r>
              <w:rPr>
                <w:rFonts w:hint="eastAsia" w:ascii="宋体" w:hAnsi="宋体" w:cs="@文鼎CS中黑"/>
                <w:b/>
                <w:bCs/>
                <w:color w:val="auto"/>
                <w:szCs w:val="21"/>
                <w:highlight w:val="none"/>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31" w:type="pct"/>
            <w:tcBorders>
              <w:bottom w:val="single" w:color="auto" w:sz="4" w:space="0"/>
            </w:tcBorders>
            <w:vAlign w:val="center"/>
          </w:tcPr>
          <w:p>
            <w:pPr>
              <w:widowControl/>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585" w:type="pct"/>
            <w:tcBorders>
              <w:bottom w:val="single" w:color="auto" w:sz="4" w:space="0"/>
            </w:tcBorders>
            <w:vAlign w:val="center"/>
          </w:tcPr>
          <w:p>
            <w:pPr>
              <w:widowControl/>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价格</w:t>
            </w:r>
          </w:p>
        </w:tc>
        <w:tc>
          <w:tcPr>
            <w:tcW w:w="3568" w:type="pct"/>
            <w:tcBorders>
              <w:bottom w:val="single" w:color="auto" w:sz="4" w:space="0"/>
            </w:tcBorders>
            <w:vAlign w:val="center"/>
          </w:tcPr>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综合评分法中的价格分统一采用低价优（最高下浮率）先法计算，即满足</w:t>
            </w:r>
            <w:r>
              <w:rPr>
                <w:rFonts w:hint="eastAsia" w:ascii="宋体" w:hAnsi="宋体" w:eastAsia="宋体" w:cs="宋体"/>
                <w:color w:val="auto"/>
                <w:sz w:val="21"/>
                <w:szCs w:val="21"/>
                <w:lang w:val="en-US" w:eastAsia="zh-CN"/>
              </w:rPr>
              <w:t>采购</w:t>
            </w:r>
            <w:r>
              <w:rPr>
                <w:rFonts w:hint="eastAsia" w:ascii="宋体" w:hAnsi="宋体" w:eastAsia="宋体" w:cs="宋体"/>
                <w:color w:val="auto"/>
                <w:sz w:val="21"/>
                <w:szCs w:val="21"/>
              </w:rPr>
              <w:t>文件要求（通过资格/符合性审查）且投标价格最低（最高下浮率）的有效报价为评标基准价，其价格分为满分。其他投标人的价格分统一按下列公式计算：报价得分=（评标基准价/投标报价）×10%×100</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说明：评标基准价=1-最高下浮率;投标报价=1-下浮率</w:t>
            </w:r>
          </w:p>
          <w:p>
            <w:pPr>
              <w:widowControl/>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注：投标人的报价明显低于其他投标报价，使得其投标报价可能低于其个别成本的，有可能影响商品质量和不能诚信履约，应当在投标文件中作出书面说明并提供相关证明材料。不能合理说明或者不能提供相关证明材料的，评标委员会应当将其作为无效投标处理。</w:t>
            </w:r>
          </w:p>
        </w:tc>
        <w:tc>
          <w:tcPr>
            <w:tcW w:w="416" w:type="pct"/>
            <w:tcBorders>
              <w:bottom w:val="single" w:color="auto" w:sz="4" w:space="0"/>
            </w:tcBorders>
            <w:vAlign w:val="center"/>
          </w:tcPr>
          <w:p>
            <w:pPr>
              <w:widowControl/>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000" w:type="pct"/>
            <w:gridSpan w:val="4"/>
            <w:tcBorders>
              <w:top w:val="single" w:color="auto" w:sz="4" w:space="0"/>
              <w:left w:val="nil"/>
              <w:bottom w:val="nil"/>
              <w:right w:val="nil"/>
            </w:tcBorders>
            <w:vAlign w:val="center"/>
          </w:tcPr>
          <w:p>
            <w:pPr>
              <w:spacing w:beforeLines="50" w:afterLines="50" w:line="240" w:lineRule="auto"/>
              <w:rPr>
                <w:rFonts w:ascii="宋体" w:hAnsi="宋体"/>
                <w:color w:val="auto"/>
                <w:szCs w:val="21"/>
                <w:highlight w:val="none"/>
              </w:rPr>
            </w:pPr>
            <w:r>
              <w:rPr>
                <w:rFonts w:hint="eastAsia" w:ascii="宋体" w:hAnsi="宋体" w:cs="宋体"/>
                <w:color w:val="auto"/>
                <w:szCs w:val="21"/>
                <w:highlight w:val="none"/>
              </w:rPr>
              <w:t>说明：本项目如果“属于专门面向中小企业采购的项目”，将无需进行价格扣除；如果“不属于专门面向中小企业采购的项目”，将可以进行价格扣除，未明确的情形视为“不属于专门面向中小企业采购的项目”</w:t>
            </w:r>
            <w:r>
              <w:rPr>
                <w:rFonts w:ascii="宋体" w:hAnsi="宋体" w:cs="宋体"/>
                <w:color w:val="auto"/>
                <w:szCs w:val="21"/>
                <w:highlight w:val="none"/>
              </w:rPr>
              <w:t>。</w:t>
            </w:r>
          </w:p>
        </w:tc>
      </w:tr>
    </w:tbl>
    <w:p>
      <w:pPr>
        <w:pStyle w:val="2"/>
        <w:rPr>
          <w:rFonts w:ascii="宋体" w:hAnsi="宋体"/>
          <w:color w:val="auto"/>
          <w:szCs w:val="20"/>
          <w:highlight w:val="none"/>
        </w:rPr>
      </w:pPr>
    </w:p>
    <w:p>
      <w:pPr>
        <w:pStyle w:val="126"/>
        <w:numPr>
          <w:ilvl w:val="0"/>
          <w:numId w:val="24"/>
        </w:numPr>
        <w:jc w:val="left"/>
        <w:outlineLvl w:val="2"/>
        <w:rPr>
          <w:rFonts w:ascii="宋体" w:hAnsi="宋体"/>
          <w:b/>
          <w:color w:val="auto"/>
          <w:szCs w:val="21"/>
          <w:highlight w:val="none"/>
        </w:rPr>
      </w:pPr>
      <w:r>
        <w:rPr>
          <w:rFonts w:hint="eastAsia" w:ascii="宋体" w:hAnsi="宋体"/>
          <w:b/>
          <w:color w:val="auto"/>
          <w:szCs w:val="21"/>
          <w:highlight w:val="none"/>
        </w:rPr>
        <w:t>汇总、排序</w:t>
      </w:r>
    </w:p>
    <w:p>
      <w:pPr>
        <w:pStyle w:val="2"/>
        <w:ind w:firstLine="420" w:firstLineChars="200"/>
        <w:rPr>
          <w:rFonts w:ascii="宋体" w:hAnsi="宋体"/>
          <w:color w:val="auto"/>
          <w:szCs w:val="20"/>
          <w:highlight w:val="none"/>
        </w:rPr>
      </w:pPr>
      <w:r>
        <w:rPr>
          <w:rFonts w:hint="eastAsia" w:ascii="宋体" w:hAnsi="宋体"/>
          <w:color w:val="auto"/>
          <w:szCs w:val="20"/>
          <w:highlight w:val="none"/>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126"/>
        <w:numPr>
          <w:ilvl w:val="0"/>
          <w:numId w:val="24"/>
        </w:numPr>
        <w:jc w:val="left"/>
        <w:outlineLvl w:val="2"/>
        <w:rPr>
          <w:rFonts w:ascii="宋体" w:hAnsi="宋体"/>
          <w:b/>
          <w:color w:val="auto"/>
          <w:szCs w:val="21"/>
          <w:highlight w:val="none"/>
        </w:rPr>
      </w:pPr>
      <w:r>
        <w:rPr>
          <w:rFonts w:hint="eastAsia" w:ascii="宋体" w:hAnsi="宋体"/>
          <w:b/>
          <w:color w:val="auto"/>
          <w:szCs w:val="21"/>
          <w:highlight w:val="none"/>
        </w:rPr>
        <w:t>其他无效响应的情形：</w:t>
      </w:r>
    </w:p>
    <w:p>
      <w:pPr>
        <w:pStyle w:val="2"/>
        <w:ind w:firstLine="420" w:firstLineChars="200"/>
        <w:rPr>
          <w:rFonts w:ascii="宋体" w:hAnsi="宋体"/>
          <w:color w:val="auto"/>
          <w:szCs w:val="21"/>
          <w:highlight w:val="none"/>
        </w:rPr>
      </w:pPr>
      <w:r>
        <w:rPr>
          <w:rFonts w:hint="eastAsia" w:ascii="宋体" w:hAnsi="宋体"/>
          <w:color w:val="auto"/>
          <w:szCs w:val="21"/>
          <w:highlight w:val="none"/>
        </w:rPr>
        <w:t>（1）评审期间，供应商没有按磋商小组的要求提交法定代表人或其委托代理人签字的澄清、说明、补正或改变了响应文件的实质性内容的。</w:t>
      </w:r>
    </w:p>
    <w:p>
      <w:pPr>
        <w:pStyle w:val="2"/>
        <w:ind w:firstLine="420" w:firstLineChars="200"/>
        <w:rPr>
          <w:rFonts w:ascii="宋体" w:hAnsi="宋体"/>
          <w:color w:val="auto"/>
          <w:szCs w:val="21"/>
          <w:highlight w:val="none"/>
        </w:rPr>
      </w:pPr>
      <w:r>
        <w:rPr>
          <w:rFonts w:hint="eastAsia" w:ascii="宋体" w:hAnsi="宋体"/>
          <w:color w:val="auto"/>
          <w:szCs w:val="21"/>
          <w:highlight w:val="none"/>
        </w:rPr>
        <w:t>（2）响应文件提供虚假材料的。</w:t>
      </w:r>
    </w:p>
    <w:p>
      <w:pPr>
        <w:pStyle w:val="2"/>
        <w:ind w:firstLine="420" w:firstLineChars="200"/>
        <w:rPr>
          <w:rFonts w:ascii="宋体" w:hAnsi="宋体"/>
          <w:color w:val="auto"/>
          <w:szCs w:val="21"/>
          <w:highlight w:val="none"/>
        </w:rPr>
      </w:pPr>
      <w:r>
        <w:rPr>
          <w:rFonts w:hint="eastAsia" w:ascii="宋体" w:hAnsi="宋体"/>
          <w:color w:val="auto"/>
          <w:szCs w:val="21"/>
          <w:highlight w:val="none"/>
        </w:rPr>
        <w:t>（3）供应商以他人名义响应、串通响应、以行贿手段谋取成交或者以其他弄虚作假方式响应的。</w:t>
      </w:r>
    </w:p>
    <w:p>
      <w:pPr>
        <w:pStyle w:val="2"/>
        <w:ind w:firstLine="420" w:firstLineChars="200"/>
        <w:rPr>
          <w:rFonts w:ascii="宋体" w:hAnsi="宋体"/>
          <w:color w:val="auto"/>
          <w:szCs w:val="21"/>
          <w:highlight w:val="none"/>
        </w:rPr>
      </w:pPr>
      <w:r>
        <w:rPr>
          <w:rFonts w:hint="eastAsia" w:ascii="宋体" w:hAnsi="宋体"/>
          <w:color w:val="auto"/>
          <w:szCs w:val="21"/>
          <w:highlight w:val="none"/>
        </w:rPr>
        <w:t>（4）供应商对采购人、采购代理机构、磋商小组及其工作人员施加影响，有碍采购公平、公正的。</w:t>
      </w:r>
    </w:p>
    <w:p>
      <w:pPr>
        <w:pStyle w:val="2"/>
        <w:ind w:firstLine="420" w:firstLineChars="200"/>
        <w:rPr>
          <w:rFonts w:ascii="宋体" w:hAnsi="宋体"/>
          <w:color w:val="auto"/>
          <w:szCs w:val="21"/>
          <w:highlight w:val="none"/>
        </w:rPr>
      </w:pPr>
      <w:r>
        <w:rPr>
          <w:rFonts w:hint="eastAsia" w:ascii="宋体" w:hAnsi="宋体"/>
          <w:color w:val="auto"/>
          <w:szCs w:val="21"/>
          <w:highlight w:val="none"/>
        </w:rPr>
        <w:t>（5）响应文件含有采购人不能接受的附加条件的。</w:t>
      </w:r>
    </w:p>
    <w:p>
      <w:pPr>
        <w:pStyle w:val="2"/>
        <w:ind w:firstLine="420" w:firstLineChars="200"/>
        <w:rPr>
          <w:rFonts w:ascii="宋体" w:hAnsi="宋体"/>
          <w:color w:val="auto"/>
          <w:szCs w:val="21"/>
          <w:highlight w:val="none"/>
        </w:rPr>
      </w:pPr>
      <w:r>
        <w:rPr>
          <w:rFonts w:hint="eastAsia" w:ascii="宋体" w:hAnsi="宋体"/>
          <w:color w:val="auto"/>
          <w:szCs w:val="21"/>
          <w:highlight w:val="none"/>
        </w:rPr>
        <w:t>（6）法律、法规和磋商文件规定的其他无效情形。</w:t>
      </w:r>
    </w:p>
    <w:p>
      <w:pPr>
        <w:jc w:val="left"/>
        <w:rPr>
          <w:rFonts w:ascii="宋体" w:hAnsi="宋体"/>
          <w:color w:val="auto"/>
          <w:sz w:val="28"/>
          <w:highlight w:val="none"/>
        </w:rPr>
      </w:pPr>
      <w:r>
        <w:rPr>
          <w:rFonts w:ascii="宋体" w:hAnsi="宋体"/>
          <w:color w:val="auto"/>
          <w:highlight w:val="none"/>
        </w:rPr>
        <w:br w:type="page"/>
      </w:r>
    </w:p>
    <w:p>
      <w:pPr>
        <w:pStyle w:val="3"/>
        <w:rPr>
          <w:color w:val="auto"/>
          <w:highlight w:val="none"/>
        </w:rPr>
      </w:pPr>
      <w:bookmarkStart w:id="69" w:name="_Toc114516597"/>
      <w:bookmarkStart w:id="70" w:name="_Toc103216637"/>
      <w:bookmarkStart w:id="71" w:name="_Toc102936915"/>
      <w:bookmarkStart w:id="72" w:name="_Toc104040700"/>
      <w:bookmarkStart w:id="73" w:name="_Toc103033216"/>
      <w:r>
        <w:rPr>
          <w:rFonts w:hint="eastAsia"/>
          <w:color w:val="auto"/>
          <w:highlight w:val="none"/>
        </w:rPr>
        <w:t>第五章 合同文本</w:t>
      </w:r>
      <w:bookmarkEnd w:id="60"/>
      <w:bookmarkEnd w:id="61"/>
      <w:bookmarkEnd w:id="62"/>
      <w:bookmarkEnd w:id="69"/>
      <w:bookmarkEnd w:id="70"/>
      <w:bookmarkEnd w:id="71"/>
      <w:bookmarkEnd w:id="72"/>
      <w:bookmarkEnd w:id="73"/>
      <w:bookmarkStart w:id="74" w:name="_Toc496780387"/>
      <w:bookmarkStart w:id="75" w:name="_Toc22308"/>
      <w:bookmarkStart w:id="76" w:name="_Toc454979452"/>
      <w:bookmarkStart w:id="77" w:name="_Toc37919883"/>
      <w:bookmarkStart w:id="78" w:name="_Toc453663167"/>
      <w:bookmarkStart w:id="79" w:name="_Toc432067248"/>
      <w:bookmarkStart w:id="80" w:name="_Toc481009509"/>
      <w:bookmarkStart w:id="81" w:name="_Toc3387032"/>
      <w:bookmarkStart w:id="82" w:name="_Toc531617908"/>
      <w:bookmarkStart w:id="83" w:name="_Toc20383"/>
      <w:bookmarkStart w:id="84" w:name="_Toc76397758"/>
      <w:bookmarkStart w:id="85" w:name="_Toc49508359"/>
      <w:bookmarkStart w:id="86" w:name="_Toc67046890"/>
      <w:bookmarkStart w:id="87" w:name="_Toc68789522"/>
      <w:bookmarkStart w:id="88" w:name="_Toc70528477"/>
      <w:bookmarkStart w:id="89" w:name="_Toc70528447"/>
      <w:bookmarkStart w:id="90" w:name="_Toc314746649"/>
      <w:bookmarkStart w:id="91" w:name="_Toc42923379"/>
    </w:p>
    <w:p>
      <w:pPr>
        <w:spacing w:line="720" w:lineRule="auto"/>
        <w:jc w:val="center"/>
        <w:rPr>
          <w:b/>
          <w:bCs/>
          <w:color w:val="auto"/>
          <w:sz w:val="36"/>
          <w:szCs w:val="36"/>
          <w:highlight w:val="none"/>
        </w:rPr>
      </w:pPr>
    </w:p>
    <w:p>
      <w:pPr>
        <w:spacing w:line="720" w:lineRule="auto"/>
        <w:jc w:val="center"/>
        <w:rPr>
          <w:b/>
          <w:bCs/>
          <w:color w:val="auto"/>
          <w:sz w:val="36"/>
          <w:szCs w:val="36"/>
          <w:highlight w:val="none"/>
        </w:rPr>
      </w:pPr>
    </w:p>
    <w:p>
      <w:pPr>
        <w:spacing w:line="720" w:lineRule="auto"/>
        <w:jc w:val="center"/>
        <w:rPr>
          <w:b/>
          <w:bCs/>
          <w:color w:val="auto"/>
          <w:sz w:val="36"/>
          <w:szCs w:val="36"/>
          <w:highlight w:val="none"/>
        </w:rPr>
      </w:pPr>
      <w:r>
        <w:rPr>
          <w:b/>
          <w:bCs/>
          <w:color w:val="auto"/>
          <w:sz w:val="36"/>
          <w:szCs w:val="36"/>
          <w:highlight w:val="none"/>
        </w:rPr>
        <w:t>项目</w:t>
      </w:r>
      <w:r>
        <w:rPr>
          <w:rFonts w:hint="eastAsia"/>
          <w:b/>
          <w:bCs/>
          <w:color w:val="auto"/>
          <w:sz w:val="36"/>
          <w:szCs w:val="36"/>
          <w:highlight w:val="none"/>
        </w:rPr>
        <w:t>采购</w:t>
      </w:r>
    </w:p>
    <w:p>
      <w:pPr>
        <w:spacing w:line="720" w:lineRule="auto"/>
        <w:jc w:val="center"/>
        <w:rPr>
          <w:b/>
          <w:bCs/>
          <w:color w:val="auto"/>
          <w:sz w:val="36"/>
          <w:szCs w:val="36"/>
          <w:highlight w:val="none"/>
        </w:rPr>
      </w:pPr>
      <w:r>
        <w:rPr>
          <w:rFonts w:hint="eastAsia"/>
          <w:b/>
          <w:bCs/>
          <w:color w:val="auto"/>
          <w:sz w:val="36"/>
          <w:szCs w:val="36"/>
          <w:highlight w:val="none"/>
        </w:rPr>
        <w:t>合 同 书</w:t>
      </w:r>
    </w:p>
    <w:p>
      <w:pPr>
        <w:pStyle w:val="2"/>
        <w:rPr>
          <w:b/>
          <w:bCs/>
          <w:color w:val="auto"/>
          <w:sz w:val="36"/>
          <w:szCs w:val="36"/>
          <w:highlight w:val="none"/>
        </w:rPr>
      </w:pPr>
    </w:p>
    <w:p>
      <w:pPr>
        <w:pStyle w:val="2"/>
        <w:rPr>
          <w:b/>
          <w:bCs/>
          <w:color w:val="auto"/>
          <w:sz w:val="36"/>
          <w:szCs w:val="36"/>
          <w:highlight w:val="none"/>
        </w:rPr>
      </w:pPr>
    </w:p>
    <w:p>
      <w:pPr>
        <w:pStyle w:val="2"/>
        <w:spacing w:line="720" w:lineRule="auto"/>
        <w:ind w:firstLine="562" w:firstLineChars="200"/>
        <w:rPr>
          <w:b/>
          <w:bCs/>
          <w:color w:val="auto"/>
          <w:sz w:val="28"/>
          <w:szCs w:val="28"/>
          <w:highlight w:val="none"/>
          <w:u w:val="single"/>
        </w:rPr>
      </w:pPr>
      <w:r>
        <w:rPr>
          <w:rFonts w:hint="eastAsia"/>
          <w:b/>
          <w:bCs/>
          <w:color w:val="auto"/>
          <w:sz w:val="28"/>
          <w:szCs w:val="28"/>
          <w:highlight w:val="none"/>
        </w:rPr>
        <w:t>项目名称：</w:t>
      </w:r>
      <w:r>
        <w:rPr>
          <w:rFonts w:hint="eastAsia"/>
          <w:b/>
          <w:bCs/>
          <w:color w:val="auto"/>
          <w:sz w:val="28"/>
          <w:szCs w:val="28"/>
          <w:highlight w:val="none"/>
          <w:u w:val="single"/>
        </w:rPr>
        <w:t xml:space="preserve">                               </w:t>
      </w:r>
    </w:p>
    <w:p>
      <w:pPr>
        <w:pStyle w:val="2"/>
        <w:spacing w:line="720" w:lineRule="auto"/>
        <w:ind w:firstLine="562" w:firstLineChars="200"/>
        <w:rPr>
          <w:b/>
          <w:bCs/>
          <w:color w:val="auto"/>
          <w:sz w:val="28"/>
          <w:szCs w:val="28"/>
          <w:highlight w:val="none"/>
          <w:u w:val="single"/>
        </w:rPr>
      </w:pPr>
      <w:r>
        <w:rPr>
          <w:rFonts w:hint="eastAsia"/>
          <w:b/>
          <w:bCs/>
          <w:color w:val="auto"/>
          <w:sz w:val="28"/>
          <w:szCs w:val="28"/>
          <w:highlight w:val="none"/>
        </w:rPr>
        <w:t>合同编号：</w:t>
      </w:r>
      <w:r>
        <w:rPr>
          <w:rFonts w:hint="eastAsia"/>
          <w:b/>
          <w:bCs/>
          <w:color w:val="auto"/>
          <w:sz w:val="28"/>
          <w:szCs w:val="28"/>
          <w:highlight w:val="none"/>
          <w:u w:val="single"/>
        </w:rPr>
        <w:t xml:space="preserve">                               </w:t>
      </w:r>
    </w:p>
    <w:p>
      <w:pPr>
        <w:pStyle w:val="2"/>
        <w:spacing w:line="720" w:lineRule="auto"/>
        <w:ind w:firstLine="562" w:firstLineChars="200"/>
        <w:rPr>
          <w:b/>
          <w:bCs/>
          <w:color w:val="auto"/>
          <w:sz w:val="28"/>
          <w:szCs w:val="28"/>
          <w:highlight w:val="none"/>
        </w:rPr>
      </w:pPr>
      <w:r>
        <w:rPr>
          <w:rFonts w:hint="eastAsia"/>
          <w:b/>
          <w:bCs/>
          <w:color w:val="auto"/>
          <w:sz w:val="28"/>
          <w:szCs w:val="28"/>
          <w:highlight w:val="none"/>
        </w:rPr>
        <w:t>甲    方：</w:t>
      </w:r>
      <w:r>
        <w:rPr>
          <w:rFonts w:hint="eastAsia"/>
          <w:b/>
          <w:bCs/>
          <w:color w:val="auto"/>
          <w:sz w:val="28"/>
          <w:szCs w:val="28"/>
          <w:highlight w:val="none"/>
          <w:u w:val="single"/>
        </w:rPr>
        <w:t xml:space="preserve">                               </w:t>
      </w:r>
    </w:p>
    <w:p>
      <w:pPr>
        <w:pStyle w:val="2"/>
        <w:spacing w:line="720" w:lineRule="auto"/>
        <w:ind w:firstLine="562" w:firstLineChars="200"/>
        <w:rPr>
          <w:b/>
          <w:bCs/>
          <w:color w:val="auto"/>
          <w:sz w:val="28"/>
          <w:szCs w:val="28"/>
          <w:highlight w:val="none"/>
        </w:rPr>
      </w:pPr>
      <w:r>
        <w:rPr>
          <w:rFonts w:hint="eastAsia"/>
          <w:b/>
          <w:bCs/>
          <w:color w:val="auto"/>
          <w:sz w:val="28"/>
          <w:szCs w:val="28"/>
          <w:highlight w:val="none"/>
        </w:rPr>
        <w:t>乙    方：</w:t>
      </w:r>
      <w:r>
        <w:rPr>
          <w:rFonts w:hint="eastAsia"/>
          <w:b/>
          <w:bCs/>
          <w:color w:val="auto"/>
          <w:sz w:val="28"/>
          <w:szCs w:val="28"/>
          <w:highlight w:val="none"/>
          <w:u w:val="single"/>
        </w:rPr>
        <w:t xml:space="preserve">                               </w:t>
      </w:r>
    </w:p>
    <w:p>
      <w:pPr>
        <w:jc w:val="left"/>
        <w:rPr>
          <w:rFonts w:ascii="宋体" w:hAnsi="宋体" w:cs="仿宋"/>
          <w:color w:val="auto"/>
          <w:highlight w:val="none"/>
        </w:rPr>
      </w:pPr>
      <w:r>
        <w:rPr>
          <w:rFonts w:hint="eastAsia"/>
          <w:b/>
          <w:bCs/>
          <w:color w:val="auto"/>
          <w:sz w:val="28"/>
          <w:szCs w:val="28"/>
          <w:highlight w:val="none"/>
          <w:u w:val="single"/>
        </w:rPr>
        <w:br w:type="page"/>
      </w:r>
      <w:bookmarkEnd w:id="74"/>
      <w:bookmarkEnd w:id="75"/>
      <w:bookmarkEnd w:id="76"/>
      <w:bookmarkEnd w:id="77"/>
      <w:bookmarkEnd w:id="78"/>
      <w:bookmarkEnd w:id="79"/>
      <w:bookmarkEnd w:id="80"/>
      <w:bookmarkEnd w:id="81"/>
      <w:bookmarkEnd w:id="82"/>
      <w:bookmarkEnd w:id="83"/>
    </w:p>
    <w:p>
      <w:pPr>
        <w:pStyle w:val="2"/>
        <w:rPr>
          <w:color w:val="auto"/>
          <w:highlight w:val="none"/>
        </w:rPr>
      </w:pPr>
    </w:p>
    <w:bookmarkEnd w:id="84"/>
    <w:bookmarkEnd w:id="85"/>
    <w:bookmarkEnd w:id="86"/>
    <w:bookmarkEnd w:id="87"/>
    <w:bookmarkEnd w:id="88"/>
    <w:bookmarkEnd w:id="89"/>
    <w:bookmarkEnd w:id="90"/>
    <w:bookmarkEnd w:id="91"/>
    <w:p>
      <w:pPr>
        <w:shd w:val="clear" w:color="auto" w:fill="FFFFFF"/>
        <w:rPr>
          <w:color w:val="auto"/>
          <w:highlight w:val="none"/>
        </w:rPr>
      </w:pPr>
      <w:bookmarkStart w:id="92" w:name="_Toc70528467"/>
      <w:bookmarkStart w:id="93" w:name="_Toc103033233"/>
      <w:bookmarkStart w:id="94" w:name="_Toc76397761"/>
      <w:bookmarkStart w:id="95" w:name="_Toc276645578"/>
      <w:bookmarkStart w:id="96" w:name="_Toc67046893"/>
      <w:bookmarkStart w:id="97" w:name="_Toc68789539"/>
      <w:bookmarkStart w:id="98" w:name="_Toc201977165"/>
      <w:bookmarkStart w:id="99" w:name="_Toc199652098"/>
      <w:r>
        <w:rPr>
          <w:rFonts w:ascii="宋体" w:hAnsi="宋体" w:cs="宋体"/>
          <w:b/>
          <w:color w:val="auto"/>
          <w:sz w:val="27"/>
          <w:highlight w:val="none"/>
        </w:rPr>
        <w:t xml:space="preserve">甲方： 　　　　　  </w:t>
      </w:r>
    </w:p>
    <w:p>
      <w:pPr>
        <w:shd w:val="clear" w:color="auto" w:fill="FFFFFF"/>
        <w:rPr>
          <w:color w:val="auto"/>
          <w:highlight w:val="none"/>
        </w:rPr>
      </w:pPr>
      <w:r>
        <w:rPr>
          <w:rFonts w:ascii="宋体" w:hAnsi="宋体" w:cs="宋体"/>
          <w:color w:val="auto"/>
          <w:sz w:val="27"/>
          <w:highlight w:val="none"/>
        </w:rPr>
        <w:t xml:space="preserve">电话： </w:t>
      </w:r>
      <w:r>
        <w:rPr>
          <w:rFonts w:ascii="宋体" w:hAnsi="宋体" w:cs="宋体"/>
          <w:b/>
          <w:color w:val="auto"/>
          <w:sz w:val="27"/>
          <w:highlight w:val="none"/>
        </w:rPr>
        <w:t xml:space="preserve">　　　　  </w:t>
      </w:r>
      <w:r>
        <w:rPr>
          <w:rFonts w:ascii="宋体" w:hAnsi="宋体" w:cs="宋体"/>
          <w:color w:val="auto"/>
          <w:sz w:val="27"/>
          <w:highlight w:val="none"/>
        </w:rPr>
        <w:t xml:space="preserve">传真 ： </w:t>
      </w:r>
      <w:r>
        <w:rPr>
          <w:rFonts w:ascii="宋体" w:hAnsi="宋体" w:cs="宋体"/>
          <w:b/>
          <w:color w:val="auto"/>
          <w:sz w:val="27"/>
          <w:highlight w:val="none"/>
        </w:rPr>
        <w:t xml:space="preserve">　　　  </w:t>
      </w:r>
      <w:r>
        <w:rPr>
          <w:rFonts w:ascii="宋体" w:hAnsi="宋体" w:cs="宋体"/>
          <w:color w:val="auto"/>
          <w:sz w:val="27"/>
          <w:highlight w:val="none"/>
        </w:rPr>
        <w:t xml:space="preserve">地址： </w:t>
      </w:r>
      <w:r>
        <w:rPr>
          <w:rFonts w:ascii="宋体" w:hAnsi="宋体" w:cs="宋体"/>
          <w:b/>
          <w:color w:val="auto"/>
          <w:sz w:val="27"/>
          <w:highlight w:val="none"/>
        </w:rPr>
        <w:t xml:space="preserve">　　　   </w:t>
      </w:r>
    </w:p>
    <w:p>
      <w:pPr>
        <w:shd w:val="clear" w:color="auto" w:fill="FFFFFF"/>
        <w:rPr>
          <w:color w:val="auto"/>
          <w:highlight w:val="none"/>
        </w:rPr>
      </w:pPr>
      <w:r>
        <w:rPr>
          <w:rFonts w:ascii="宋体" w:hAnsi="宋体" w:cs="宋体"/>
          <w:b/>
          <w:color w:val="auto"/>
          <w:sz w:val="27"/>
          <w:highlight w:val="none"/>
        </w:rPr>
        <w:t xml:space="preserve">乙方： 　　　　　  </w:t>
      </w:r>
    </w:p>
    <w:p>
      <w:pPr>
        <w:shd w:val="clear" w:color="auto" w:fill="FFFFFF"/>
        <w:rPr>
          <w:rFonts w:ascii="宋体" w:hAnsi="宋体" w:cs="宋体"/>
          <w:b/>
          <w:color w:val="auto"/>
          <w:sz w:val="27"/>
          <w:highlight w:val="none"/>
        </w:rPr>
      </w:pPr>
      <w:r>
        <w:rPr>
          <w:rFonts w:ascii="宋体" w:hAnsi="宋体" w:cs="宋体"/>
          <w:color w:val="auto"/>
          <w:sz w:val="27"/>
          <w:highlight w:val="none"/>
        </w:rPr>
        <w:t xml:space="preserve">电话： </w:t>
      </w:r>
      <w:r>
        <w:rPr>
          <w:rFonts w:ascii="宋体" w:hAnsi="宋体" w:cs="宋体"/>
          <w:b/>
          <w:color w:val="auto"/>
          <w:sz w:val="27"/>
          <w:highlight w:val="none"/>
        </w:rPr>
        <w:t xml:space="preserve">　　　　   </w:t>
      </w:r>
      <w:r>
        <w:rPr>
          <w:rFonts w:ascii="宋体" w:hAnsi="宋体" w:cs="宋体"/>
          <w:color w:val="auto"/>
          <w:sz w:val="27"/>
          <w:highlight w:val="none"/>
        </w:rPr>
        <w:t>传真：</w:t>
      </w:r>
      <w:r>
        <w:rPr>
          <w:rFonts w:ascii="宋体" w:hAnsi="宋体" w:cs="宋体"/>
          <w:b/>
          <w:color w:val="auto"/>
          <w:sz w:val="27"/>
          <w:highlight w:val="none"/>
        </w:rPr>
        <w:t xml:space="preserve">　　　   </w:t>
      </w:r>
      <w:r>
        <w:rPr>
          <w:rFonts w:ascii="宋体" w:hAnsi="宋体" w:cs="宋体"/>
          <w:color w:val="auto"/>
          <w:sz w:val="27"/>
          <w:highlight w:val="none"/>
        </w:rPr>
        <w:t xml:space="preserve">地址： </w:t>
      </w:r>
      <w:r>
        <w:rPr>
          <w:rFonts w:ascii="宋体" w:hAnsi="宋体" w:cs="宋体"/>
          <w:b/>
          <w:color w:val="auto"/>
          <w:sz w:val="27"/>
          <w:highlight w:val="none"/>
        </w:rPr>
        <w:t xml:space="preserve">　　　   </w:t>
      </w:r>
    </w:p>
    <w:p>
      <w:pPr>
        <w:pStyle w:val="2"/>
        <w:rPr>
          <w:color w:val="auto"/>
        </w:rPr>
      </w:pPr>
    </w:p>
    <w:p>
      <w:pPr>
        <w:shd w:val="clear" w:color="auto" w:fill="FFFFFF"/>
        <w:rPr>
          <w:color w:val="auto"/>
          <w:highlight w:val="none"/>
        </w:rPr>
      </w:pPr>
      <w:r>
        <w:rPr>
          <w:rFonts w:ascii="宋体" w:hAnsi="宋体" w:cs="宋体"/>
          <w:color w:val="auto"/>
          <w:sz w:val="27"/>
          <w:highlight w:val="none"/>
        </w:rPr>
        <w:t xml:space="preserve">  根据          项目 的采购结果，按照《中华人民共和国政府采购法》，《中华人民共和国民法典(合同编)》的规定，经双方协商，本着平等互利和诚实信用的原则，一致同意遵守本合同如下。</w:t>
      </w:r>
    </w:p>
    <w:p>
      <w:pPr>
        <w:shd w:val="clear" w:color="auto" w:fill="FFFFFF"/>
        <w:rPr>
          <w:color w:val="auto"/>
          <w:highlight w:val="none"/>
        </w:rPr>
      </w:pPr>
      <w:r>
        <w:rPr>
          <w:rFonts w:ascii="宋体" w:hAnsi="宋体" w:cs="宋体"/>
          <w:b/>
          <w:color w:val="auto"/>
          <w:sz w:val="27"/>
          <w:highlight w:val="none"/>
        </w:rPr>
        <w:t>一、合同金额</w:t>
      </w:r>
    </w:p>
    <w:p>
      <w:pPr>
        <w:shd w:val="clear" w:color="auto" w:fill="FFFFFF"/>
        <w:rPr>
          <w:color w:val="auto"/>
          <w:highlight w:val="none"/>
        </w:rPr>
      </w:pPr>
      <w:r>
        <w:rPr>
          <w:rFonts w:ascii="宋体" w:hAnsi="宋体" w:cs="宋体"/>
          <w:color w:val="auto"/>
          <w:sz w:val="27"/>
          <w:highlight w:val="none"/>
        </w:rPr>
        <w:t>　　合同金额为（大写）：_____________元（￥_________元）人民币。</w:t>
      </w:r>
    </w:p>
    <w:p>
      <w:pPr>
        <w:shd w:val="clear" w:color="auto" w:fill="FFFFFF"/>
        <w:rPr>
          <w:color w:val="auto"/>
          <w:highlight w:val="none"/>
        </w:rPr>
      </w:pPr>
      <w:r>
        <w:rPr>
          <w:rFonts w:ascii="宋体" w:hAnsi="宋体" w:cs="宋体"/>
          <w:b/>
          <w:color w:val="auto"/>
          <w:sz w:val="27"/>
          <w:highlight w:val="none"/>
        </w:rPr>
        <w:t>二、服务范围</w:t>
      </w:r>
    </w:p>
    <w:p>
      <w:pPr>
        <w:shd w:val="clear" w:color="auto" w:fill="FFFFFF"/>
        <w:rPr>
          <w:rFonts w:hint="eastAsia" w:ascii="宋体" w:hAnsi="宋体" w:cs="宋体"/>
          <w:color w:val="auto"/>
          <w:sz w:val="27"/>
          <w:highlight w:val="none"/>
        </w:rPr>
      </w:pPr>
      <w:r>
        <w:rPr>
          <w:rFonts w:hint="eastAsia" w:ascii="宋体" w:hAnsi="宋体" w:cs="宋体"/>
          <w:color w:val="auto"/>
          <w:sz w:val="27"/>
          <w:highlight w:val="none"/>
        </w:rPr>
        <w:t>　　乙方为甲方提供的信宜市中医院食堂副食品采购及其配送服务具体内容及要求如下：</w:t>
      </w:r>
    </w:p>
    <w:p>
      <w:pPr>
        <w:shd w:val="clear" w:color="auto" w:fill="FFFFFF"/>
        <w:rPr>
          <w:rFonts w:hint="eastAsia" w:ascii="宋体" w:hAnsi="宋体" w:cs="宋体"/>
          <w:color w:val="auto"/>
          <w:sz w:val="27"/>
          <w:highlight w:val="none"/>
        </w:rPr>
      </w:pPr>
      <w:r>
        <w:rPr>
          <w:rFonts w:hint="eastAsia" w:ascii="宋体" w:hAnsi="宋体" w:cs="宋体"/>
          <w:color w:val="auto"/>
          <w:sz w:val="27"/>
          <w:highlight w:val="none"/>
        </w:rPr>
        <w:t>（一）服务内容：____________</w:t>
      </w:r>
    </w:p>
    <w:p>
      <w:pPr>
        <w:shd w:val="clear" w:color="auto" w:fill="FFFFFF"/>
        <w:rPr>
          <w:rFonts w:hint="eastAsia" w:ascii="宋体" w:hAnsi="宋体" w:cs="宋体"/>
          <w:color w:val="auto"/>
          <w:sz w:val="27"/>
          <w:highlight w:val="none"/>
        </w:rPr>
      </w:pPr>
      <w:r>
        <w:rPr>
          <w:rFonts w:hint="eastAsia" w:ascii="宋体" w:hAnsi="宋体" w:cs="宋体"/>
          <w:color w:val="auto"/>
          <w:sz w:val="27"/>
          <w:highlight w:val="none"/>
        </w:rPr>
        <w:t>（二）服务要求：____________</w:t>
      </w:r>
    </w:p>
    <w:p>
      <w:pPr>
        <w:shd w:val="clear" w:color="auto" w:fill="FFFFFF"/>
        <w:rPr>
          <w:rFonts w:hint="eastAsia" w:ascii="宋体" w:hAnsi="宋体" w:cs="宋体"/>
          <w:color w:val="auto"/>
          <w:sz w:val="27"/>
          <w:highlight w:val="none"/>
        </w:rPr>
      </w:pPr>
      <w:r>
        <w:rPr>
          <w:rFonts w:hint="eastAsia" w:ascii="宋体" w:hAnsi="宋体" w:cs="宋体"/>
          <w:color w:val="auto"/>
          <w:sz w:val="27"/>
          <w:highlight w:val="none"/>
        </w:rPr>
        <w:t>注：食品种类、质量要求与招标文件中采购需求一致</w:t>
      </w:r>
    </w:p>
    <w:p>
      <w:pPr>
        <w:shd w:val="clear" w:color="auto" w:fill="FFFFFF"/>
        <w:rPr>
          <w:color w:val="auto"/>
          <w:highlight w:val="none"/>
        </w:rPr>
      </w:pPr>
      <w:r>
        <w:rPr>
          <w:rFonts w:ascii="宋体" w:hAnsi="宋体" w:cs="宋体"/>
          <w:b/>
          <w:color w:val="auto"/>
          <w:sz w:val="27"/>
          <w:highlight w:val="none"/>
        </w:rPr>
        <w:t>三、甲方乙方的权利和义务</w:t>
      </w:r>
    </w:p>
    <w:p>
      <w:pPr>
        <w:shd w:val="clear" w:color="auto" w:fill="FFFFFF"/>
        <w:ind w:firstLine="540"/>
        <w:rPr>
          <w:rFonts w:hint="eastAsia" w:ascii="宋体" w:hAnsi="宋体" w:cs="宋体"/>
          <w:color w:val="auto"/>
          <w:sz w:val="27"/>
          <w:highlight w:val="none"/>
          <w:lang w:eastAsia="zh-CN"/>
        </w:rPr>
      </w:pPr>
      <w:r>
        <w:rPr>
          <w:rFonts w:ascii="宋体" w:hAnsi="宋体" w:cs="宋体"/>
          <w:color w:val="auto"/>
          <w:sz w:val="27"/>
          <w:highlight w:val="none"/>
        </w:rPr>
        <w:t>1.甲方的权利和义务</w:t>
      </w:r>
      <w:r>
        <w:rPr>
          <w:rFonts w:hint="eastAsia" w:ascii="宋体" w:hAnsi="宋体" w:cs="宋体"/>
          <w:color w:val="auto"/>
          <w:sz w:val="27"/>
          <w:highlight w:val="none"/>
          <w:lang w:eastAsia="zh-CN"/>
        </w:rPr>
        <w:t>：</w:t>
      </w:r>
    </w:p>
    <w:p>
      <w:pPr>
        <w:pStyle w:val="2"/>
        <w:ind w:firstLine="540"/>
        <w:rPr>
          <w:rFonts w:hint="default"/>
          <w:color w:val="auto"/>
          <w:u w:val="single"/>
          <w:lang w:val="en-US" w:eastAsia="zh-CN"/>
        </w:rPr>
      </w:pPr>
      <w:r>
        <w:rPr>
          <w:rFonts w:hint="eastAsia"/>
          <w:color w:val="auto"/>
          <w:u w:val="single"/>
          <w:lang w:val="en-US" w:eastAsia="zh-CN"/>
        </w:rPr>
        <w:t xml:space="preserve">                              </w:t>
      </w:r>
    </w:p>
    <w:p>
      <w:pPr>
        <w:numPr>
          <w:ilvl w:val="0"/>
          <w:numId w:val="23"/>
        </w:numPr>
        <w:shd w:val="clear" w:color="auto" w:fill="FFFFFF"/>
        <w:ind w:left="840" w:leftChars="0" w:hanging="420" w:firstLineChars="0"/>
        <w:rPr>
          <w:rFonts w:hint="eastAsia" w:ascii="宋体" w:hAnsi="宋体" w:cs="宋体"/>
          <w:color w:val="auto"/>
          <w:sz w:val="27"/>
          <w:highlight w:val="none"/>
          <w:lang w:eastAsia="zh-CN"/>
        </w:rPr>
      </w:pPr>
      <w:r>
        <w:rPr>
          <w:rFonts w:ascii="宋体" w:hAnsi="宋体" w:cs="宋体"/>
          <w:color w:val="auto"/>
          <w:sz w:val="27"/>
          <w:highlight w:val="none"/>
        </w:rPr>
        <w:t>乙方的权利和义务</w:t>
      </w:r>
      <w:r>
        <w:rPr>
          <w:rFonts w:hint="eastAsia" w:ascii="宋体" w:hAnsi="宋体" w:cs="宋体"/>
          <w:color w:val="auto"/>
          <w:sz w:val="27"/>
          <w:highlight w:val="none"/>
          <w:lang w:eastAsia="zh-CN"/>
        </w:rPr>
        <w:t>：</w:t>
      </w:r>
    </w:p>
    <w:p>
      <w:pPr>
        <w:pStyle w:val="2"/>
        <w:ind w:firstLine="540"/>
        <w:rPr>
          <w:rFonts w:hint="eastAsia"/>
          <w:color w:val="auto"/>
          <w:lang w:eastAsia="zh-CN"/>
        </w:rPr>
      </w:pPr>
      <w:r>
        <w:rPr>
          <w:rFonts w:hint="eastAsia"/>
          <w:color w:val="auto"/>
          <w:u w:val="single"/>
          <w:lang w:val="en-US" w:eastAsia="zh-CN"/>
        </w:rPr>
        <w:t xml:space="preserve">                              </w:t>
      </w:r>
    </w:p>
    <w:p>
      <w:pPr>
        <w:shd w:val="clear" w:color="auto" w:fill="FFFFFF"/>
        <w:rPr>
          <w:color w:val="auto"/>
        </w:rPr>
      </w:pPr>
      <w:r>
        <w:rPr>
          <w:rFonts w:hint="eastAsia" w:ascii="宋体" w:hAnsi="宋体" w:eastAsia="宋体" w:cs="宋体"/>
          <w:color w:val="auto"/>
          <w:sz w:val="27"/>
          <w:highlight w:val="none"/>
          <w:lang w:val="en-US" w:eastAsia="zh-CN"/>
        </w:rPr>
        <w:t>注：双方的权利义务与招标文件中一致。</w:t>
      </w:r>
    </w:p>
    <w:p>
      <w:pPr>
        <w:shd w:val="clear" w:color="auto" w:fill="FFFFFF"/>
        <w:rPr>
          <w:color w:val="auto"/>
          <w:highlight w:val="none"/>
        </w:rPr>
      </w:pPr>
      <w:r>
        <w:rPr>
          <w:rFonts w:ascii="宋体" w:hAnsi="宋体" w:cs="宋体"/>
          <w:b/>
          <w:color w:val="auto"/>
          <w:sz w:val="27"/>
          <w:highlight w:val="none"/>
        </w:rPr>
        <w:t>四、服务期间（项目完成期限）</w:t>
      </w:r>
    </w:p>
    <w:p>
      <w:pPr>
        <w:shd w:val="clear" w:color="auto" w:fill="FFFFFF"/>
        <w:rPr>
          <w:color w:val="auto"/>
          <w:highlight w:val="none"/>
        </w:rPr>
      </w:pPr>
      <w:r>
        <w:rPr>
          <w:rFonts w:ascii="宋体" w:hAnsi="宋体" w:cs="宋体"/>
          <w:color w:val="auto"/>
          <w:sz w:val="27"/>
          <w:highlight w:val="none"/>
        </w:rPr>
        <w:t>　　1.委托服务期间自______年______月至______年______月止。</w:t>
      </w:r>
    </w:p>
    <w:p>
      <w:pPr>
        <w:shd w:val="clear" w:color="auto" w:fill="FFFFFF"/>
        <w:rPr>
          <w:rFonts w:hint="eastAsia" w:eastAsia="宋体"/>
          <w:color w:val="auto"/>
          <w:lang w:val="en-US" w:eastAsia="zh-CN"/>
        </w:rPr>
      </w:pPr>
      <w:r>
        <w:rPr>
          <w:rFonts w:ascii="宋体" w:hAnsi="宋体" w:cs="宋体"/>
          <w:b/>
          <w:color w:val="auto"/>
          <w:sz w:val="27"/>
          <w:highlight w:val="none"/>
        </w:rPr>
        <w:t>五、付款方式</w:t>
      </w:r>
    </w:p>
    <w:p>
      <w:pPr>
        <w:shd w:val="clear" w:color="auto" w:fill="FFFFFF"/>
        <w:ind w:firstLine="540" w:firstLineChars="200"/>
        <w:rPr>
          <w:rFonts w:hint="eastAsia" w:ascii="宋体" w:hAnsi="宋体" w:eastAsia="宋体" w:cs="宋体"/>
          <w:color w:val="auto"/>
          <w:sz w:val="27"/>
          <w:highlight w:val="none"/>
        </w:rPr>
      </w:pPr>
      <w:r>
        <w:rPr>
          <w:rFonts w:hint="eastAsia" w:ascii="宋体" w:hAnsi="宋体" w:eastAsia="宋体" w:cs="宋体"/>
          <w:color w:val="auto"/>
          <w:sz w:val="27"/>
          <w:highlight w:val="none"/>
        </w:rPr>
        <w:t>每月每个品种实际采购单价计算方法：双方确定的采购基准单价×（1-投标报价下浮率）=实际采购单价，按实际采购数量结算，结算周期为一个月。上月货款需在每个月10日前，经双方核对确认签字后，由</w:t>
      </w:r>
      <w:r>
        <w:rPr>
          <w:rFonts w:hint="eastAsia" w:ascii="宋体" w:hAnsi="宋体" w:eastAsia="宋体" w:cs="宋体"/>
          <w:color w:val="auto"/>
          <w:sz w:val="27"/>
          <w:highlight w:val="none"/>
          <w:lang w:val="en-US" w:eastAsia="zh-CN"/>
        </w:rPr>
        <w:t>乙方</w:t>
      </w:r>
      <w:r>
        <w:rPr>
          <w:rFonts w:hint="eastAsia" w:ascii="宋体" w:hAnsi="宋体" w:eastAsia="宋体" w:cs="宋体"/>
          <w:color w:val="auto"/>
          <w:sz w:val="27"/>
          <w:highlight w:val="none"/>
        </w:rPr>
        <w:t>开具完税发票，</w:t>
      </w:r>
      <w:r>
        <w:rPr>
          <w:rFonts w:hint="eastAsia" w:ascii="宋体" w:hAnsi="宋体" w:eastAsia="宋体" w:cs="宋体"/>
          <w:color w:val="auto"/>
          <w:sz w:val="27"/>
          <w:highlight w:val="none"/>
          <w:lang w:val="en-US" w:eastAsia="zh-CN"/>
        </w:rPr>
        <w:t>甲方</w:t>
      </w:r>
      <w:r>
        <w:rPr>
          <w:rFonts w:hint="eastAsia" w:ascii="宋体" w:hAnsi="宋体" w:eastAsia="宋体" w:cs="宋体"/>
          <w:color w:val="auto"/>
          <w:sz w:val="27"/>
          <w:highlight w:val="none"/>
        </w:rPr>
        <w:t>应在收到</w:t>
      </w:r>
      <w:r>
        <w:rPr>
          <w:rFonts w:hint="eastAsia" w:ascii="宋体" w:hAnsi="宋体" w:eastAsia="宋体" w:cs="宋体"/>
          <w:color w:val="auto"/>
          <w:sz w:val="27"/>
          <w:highlight w:val="none"/>
          <w:lang w:val="en-US" w:eastAsia="zh-CN"/>
        </w:rPr>
        <w:t>乙方</w:t>
      </w:r>
      <w:r>
        <w:rPr>
          <w:rFonts w:hint="eastAsia" w:ascii="宋体" w:hAnsi="宋体" w:eastAsia="宋体" w:cs="宋体"/>
          <w:color w:val="auto"/>
          <w:sz w:val="27"/>
          <w:highlight w:val="none"/>
        </w:rPr>
        <w:t>相应发票后的10个工作日内将上个月的相关费用支付到合同约定的供应商账户。</w:t>
      </w:r>
    </w:p>
    <w:p>
      <w:pPr>
        <w:shd w:val="clear" w:color="auto" w:fill="FFFFFF"/>
        <w:rPr>
          <w:color w:val="auto"/>
          <w:highlight w:val="none"/>
        </w:rPr>
      </w:pPr>
      <w:r>
        <w:rPr>
          <w:rFonts w:hint="eastAsia" w:ascii="宋体" w:hAnsi="宋体" w:cs="宋体"/>
          <w:b/>
          <w:color w:val="auto"/>
          <w:sz w:val="27"/>
          <w:highlight w:val="none"/>
          <w:lang w:val="en-US" w:eastAsia="zh-CN"/>
        </w:rPr>
        <w:t>六</w:t>
      </w:r>
      <w:r>
        <w:rPr>
          <w:rFonts w:ascii="宋体" w:hAnsi="宋体" w:cs="宋体"/>
          <w:b/>
          <w:color w:val="auto"/>
          <w:sz w:val="27"/>
          <w:highlight w:val="none"/>
        </w:rPr>
        <w:t>、保密</w:t>
      </w:r>
    </w:p>
    <w:p>
      <w:pPr>
        <w:shd w:val="clear" w:color="auto" w:fill="FFFFFF"/>
        <w:rPr>
          <w:color w:val="auto"/>
          <w:highlight w:val="none"/>
        </w:rPr>
      </w:pPr>
      <w:r>
        <w:rPr>
          <w:rFonts w:hint="eastAsia" w:ascii="宋体" w:hAnsi="宋体" w:cs="宋体"/>
          <w:b/>
          <w:color w:val="auto"/>
          <w:sz w:val="27"/>
          <w:highlight w:val="none"/>
          <w:lang w:val="en-US" w:eastAsia="zh-CN"/>
        </w:rPr>
        <w:t>七</w:t>
      </w:r>
      <w:r>
        <w:rPr>
          <w:rFonts w:ascii="宋体" w:hAnsi="宋体" w:cs="宋体"/>
          <w:b/>
          <w:color w:val="auto"/>
          <w:sz w:val="27"/>
          <w:highlight w:val="none"/>
        </w:rPr>
        <w:t>、违约责任与赔偿损失</w:t>
      </w:r>
    </w:p>
    <w:p>
      <w:pPr>
        <w:shd w:val="clear" w:color="auto" w:fill="FFFFFF"/>
        <w:rPr>
          <w:color w:val="auto"/>
          <w:highlight w:val="none"/>
        </w:rPr>
      </w:pPr>
      <w:r>
        <w:rPr>
          <w:rFonts w:ascii="宋体" w:hAnsi="宋体" w:cs="宋体"/>
          <w:color w:val="auto"/>
          <w:sz w:val="27"/>
          <w:highlight w:val="none"/>
        </w:rPr>
        <w:t>　　1.乙方提供的服务不符合本合同规定的，甲方有权拒收，并且乙方须向甲方方支付本合同总价5%的违约金。</w:t>
      </w:r>
    </w:p>
    <w:p>
      <w:pPr>
        <w:shd w:val="clear" w:color="auto" w:fill="FFFFFF"/>
        <w:rPr>
          <w:color w:val="auto"/>
          <w:highlight w:val="none"/>
        </w:rPr>
      </w:pPr>
      <w:r>
        <w:rPr>
          <w:rFonts w:ascii="宋体" w:hAnsi="宋体" w:cs="宋体"/>
          <w:color w:val="auto"/>
          <w:sz w:val="27"/>
          <w:highlight w:val="none"/>
        </w:rPr>
        <w:t>　　2.乙方未能按本合同规定的交货时间提供服务，从逾期之日起每日按本合同总价3‰的数额向甲方支付违约金；逾期半个月以上的，甲方有权终止合同，由此造成的甲方经济损失由乙方承担。</w:t>
      </w:r>
    </w:p>
    <w:p>
      <w:pPr>
        <w:shd w:val="clear" w:color="auto" w:fill="FFFFFF"/>
        <w:rPr>
          <w:color w:val="auto"/>
          <w:highlight w:val="none"/>
        </w:rPr>
      </w:pPr>
      <w:r>
        <w:rPr>
          <w:rFonts w:ascii="宋体" w:hAnsi="宋体" w:cs="宋体"/>
          <w:color w:val="auto"/>
          <w:sz w:val="27"/>
          <w:highlight w:val="none"/>
        </w:rPr>
        <w:t>　　3.甲方无正当理由拒收接受服务，到期拒付服务款项的，甲方向乙方偿付本合同总的5%的违约金。甲方人逾期付款，则每日按本合同总价的3‰向乙方偿付违约金。</w:t>
      </w:r>
    </w:p>
    <w:p>
      <w:pPr>
        <w:shd w:val="clear" w:color="auto" w:fill="FFFFFF"/>
        <w:rPr>
          <w:color w:val="auto"/>
          <w:highlight w:val="none"/>
        </w:rPr>
      </w:pPr>
      <w:r>
        <w:rPr>
          <w:rFonts w:ascii="宋体" w:hAnsi="宋体" w:cs="宋体"/>
          <w:color w:val="auto"/>
          <w:sz w:val="27"/>
          <w:highlight w:val="none"/>
        </w:rPr>
        <w:t>　　4.对于因甲方原因导致变更、中止或者终止政府采购合同的，甲方应当依照以下合同约定对供应商受到的损失予以赔偿或者补偿：</w:t>
      </w:r>
    </w:p>
    <w:p>
      <w:pPr>
        <w:shd w:val="clear" w:color="auto" w:fill="FFFFFF"/>
        <w:rPr>
          <w:color w:val="auto"/>
          <w:highlight w:val="none"/>
        </w:rPr>
      </w:pPr>
      <w:r>
        <w:rPr>
          <w:rFonts w:ascii="宋体" w:hAnsi="宋体" w:cs="宋体"/>
          <w:color w:val="auto"/>
          <w:sz w:val="27"/>
          <w:highlight w:val="none"/>
        </w:rPr>
        <w:t xml:space="preserve">              </w:t>
      </w:r>
    </w:p>
    <w:p>
      <w:pPr>
        <w:shd w:val="clear" w:color="auto" w:fill="FFFFFF"/>
        <w:rPr>
          <w:color w:val="auto"/>
          <w:highlight w:val="none"/>
        </w:rPr>
      </w:pPr>
      <w:r>
        <w:rPr>
          <w:rFonts w:ascii="宋体" w:hAnsi="宋体" w:cs="宋体"/>
          <w:color w:val="auto"/>
          <w:sz w:val="27"/>
          <w:highlight w:val="none"/>
        </w:rPr>
        <w:t>　　5.其它违约责任按《中华人民共和国民法典(合同编)》处理。</w:t>
      </w:r>
    </w:p>
    <w:p>
      <w:pPr>
        <w:shd w:val="clear" w:color="auto" w:fill="FFFFFF"/>
        <w:rPr>
          <w:color w:val="auto"/>
          <w:highlight w:val="none"/>
        </w:rPr>
      </w:pPr>
      <w:r>
        <w:rPr>
          <w:rFonts w:hint="eastAsia" w:ascii="宋体" w:hAnsi="宋体" w:cs="宋体"/>
          <w:b/>
          <w:color w:val="auto"/>
          <w:sz w:val="27"/>
          <w:highlight w:val="none"/>
          <w:lang w:val="en-US" w:eastAsia="zh-CN"/>
        </w:rPr>
        <w:t>八</w:t>
      </w:r>
      <w:r>
        <w:rPr>
          <w:rFonts w:ascii="宋体" w:hAnsi="宋体" w:cs="宋体"/>
          <w:b/>
          <w:color w:val="auto"/>
          <w:sz w:val="27"/>
          <w:highlight w:val="none"/>
        </w:rPr>
        <w:t>、争议的解决</w:t>
      </w:r>
    </w:p>
    <w:p>
      <w:pPr>
        <w:shd w:val="clear" w:color="auto" w:fill="FFFFFF"/>
        <w:ind w:firstLine="400"/>
        <w:rPr>
          <w:color w:val="auto"/>
          <w:highlight w:val="none"/>
        </w:rPr>
      </w:pPr>
      <w:r>
        <w:rPr>
          <w:rFonts w:ascii="宋体" w:hAnsi="宋体" w:cs="宋体"/>
          <w:color w:val="auto"/>
          <w:sz w:val="27"/>
          <w:highlight w:val="none"/>
        </w:rPr>
        <w:t>合同执行过程中发生的任何争议，如双方不能通过友好协商解决，按相关法律法规处理。</w:t>
      </w:r>
      <w:r>
        <w:rPr>
          <w:rFonts w:ascii="Helvetica" w:hAnsi="Helvetica" w:eastAsia="Helvetica" w:cs="Helvetica"/>
          <w:color w:val="auto"/>
          <w:sz w:val="27"/>
          <w:highlight w:val="none"/>
        </w:rPr>
        <w:t xml:space="preserve"> </w:t>
      </w:r>
      <w:r>
        <w:rPr>
          <w:rFonts w:ascii="宋体" w:hAnsi="宋体" w:cs="宋体"/>
          <w:color w:val="auto"/>
          <w:sz w:val="27"/>
          <w:highlight w:val="none"/>
        </w:rPr>
        <w:t xml:space="preserve"> </w:t>
      </w:r>
      <w:r>
        <w:rPr>
          <w:rFonts w:ascii="Helvetica" w:hAnsi="Helvetica" w:eastAsia="Helvetica" w:cs="Helvetica"/>
          <w:color w:val="auto"/>
          <w:sz w:val="27"/>
          <w:highlight w:val="none"/>
        </w:rPr>
        <w:t xml:space="preserve">   </w:t>
      </w:r>
    </w:p>
    <w:p>
      <w:pPr>
        <w:shd w:val="clear" w:color="auto" w:fill="FFFFFF"/>
        <w:rPr>
          <w:color w:val="auto"/>
          <w:highlight w:val="none"/>
        </w:rPr>
      </w:pPr>
      <w:r>
        <w:rPr>
          <w:rFonts w:hint="eastAsia" w:ascii="宋体" w:hAnsi="宋体" w:cs="宋体"/>
          <w:b/>
          <w:color w:val="auto"/>
          <w:sz w:val="27"/>
          <w:highlight w:val="none"/>
          <w:lang w:val="en-US" w:eastAsia="zh-CN"/>
        </w:rPr>
        <w:t>九</w:t>
      </w:r>
      <w:r>
        <w:rPr>
          <w:rFonts w:ascii="宋体" w:hAnsi="宋体" w:cs="宋体"/>
          <w:b/>
          <w:color w:val="auto"/>
          <w:sz w:val="27"/>
          <w:highlight w:val="none"/>
        </w:rPr>
        <w:t>、不可抗力</w:t>
      </w:r>
    </w:p>
    <w:p>
      <w:pPr>
        <w:shd w:val="clear" w:color="auto" w:fill="FFFFFF"/>
        <w:rPr>
          <w:color w:val="auto"/>
          <w:highlight w:val="none"/>
        </w:rPr>
      </w:pPr>
      <w:r>
        <w:rPr>
          <w:rFonts w:ascii="宋体" w:hAnsi="宋体" w:cs="宋体"/>
          <w:color w:val="auto"/>
          <w:sz w:val="27"/>
          <w:highlight w:val="none"/>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hd w:val="clear" w:color="auto" w:fill="FFFFFF"/>
        <w:rPr>
          <w:color w:val="auto"/>
          <w:highlight w:val="none"/>
        </w:rPr>
      </w:pPr>
      <w:r>
        <w:rPr>
          <w:rFonts w:ascii="宋体" w:hAnsi="宋体" w:cs="宋体"/>
          <w:b/>
          <w:color w:val="auto"/>
          <w:sz w:val="27"/>
          <w:highlight w:val="none"/>
        </w:rPr>
        <w:t>十、税费</w:t>
      </w:r>
    </w:p>
    <w:p>
      <w:pPr>
        <w:shd w:val="clear" w:color="auto" w:fill="FFFFFF"/>
        <w:rPr>
          <w:color w:val="auto"/>
          <w:highlight w:val="none"/>
        </w:rPr>
      </w:pPr>
      <w:r>
        <w:rPr>
          <w:rFonts w:ascii="宋体" w:hAnsi="宋体" w:cs="宋体"/>
          <w:color w:val="auto"/>
          <w:sz w:val="27"/>
          <w:highlight w:val="none"/>
        </w:rPr>
        <w:t>　　在中国境内、外发生的与本合同执行有关的一切税费均由乙方负担。</w:t>
      </w:r>
    </w:p>
    <w:p>
      <w:pPr>
        <w:shd w:val="clear" w:color="auto" w:fill="FFFFFF"/>
        <w:rPr>
          <w:color w:val="auto"/>
          <w:highlight w:val="none"/>
        </w:rPr>
      </w:pPr>
      <w:r>
        <w:rPr>
          <w:rFonts w:ascii="宋体" w:hAnsi="宋体" w:cs="宋体"/>
          <w:b/>
          <w:color w:val="auto"/>
          <w:sz w:val="27"/>
          <w:highlight w:val="none"/>
        </w:rPr>
        <w:t>十</w:t>
      </w:r>
      <w:r>
        <w:rPr>
          <w:rFonts w:hint="eastAsia" w:ascii="宋体" w:hAnsi="宋体" w:cs="宋体"/>
          <w:b/>
          <w:color w:val="auto"/>
          <w:sz w:val="27"/>
          <w:highlight w:val="none"/>
          <w:lang w:val="en-US" w:eastAsia="zh-CN"/>
        </w:rPr>
        <w:t>一</w:t>
      </w:r>
      <w:r>
        <w:rPr>
          <w:rFonts w:ascii="宋体" w:hAnsi="宋体" w:cs="宋体"/>
          <w:b/>
          <w:color w:val="auto"/>
          <w:sz w:val="27"/>
          <w:highlight w:val="none"/>
        </w:rPr>
        <w:t>、其它</w:t>
      </w:r>
    </w:p>
    <w:p>
      <w:pPr>
        <w:shd w:val="clear" w:color="auto" w:fill="FFFFFF"/>
        <w:rPr>
          <w:color w:val="auto"/>
          <w:highlight w:val="none"/>
        </w:rPr>
      </w:pPr>
      <w:r>
        <w:rPr>
          <w:rFonts w:ascii="宋体" w:hAnsi="宋体" w:cs="宋体"/>
          <w:color w:val="auto"/>
          <w:sz w:val="27"/>
          <w:highlight w:val="none"/>
        </w:rPr>
        <w:t>　　1.本合同所有附件、招标文件、投标文件、中标通知书均为合同的有效组成部分，与本合同具有同等法律效力。</w:t>
      </w:r>
    </w:p>
    <w:p>
      <w:pPr>
        <w:shd w:val="clear" w:color="auto" w:fill="FFFFFF"/>
        <w:rPr>
          <w:color w:val="auto"/>
          <w:highlight w:val="none"/>
        </w:rPr>
      </w:pPr>
      <w:r>
        <w:rPr>
          <w:rFonts w:ascii="宋体" w:hAnsi="宋体" w:cs="宋体"/>
          <w:color w:val="auto"/>
          <w:sz w:val="27"/>
          <w:highlight w:val="none"/>
        </w:rPr>
        <w:t>　　2.在执行本合同的过程中，所有经双方签署确认的文件（包括会议纪要、补充协议、往来信函）即成为本合同的有效组成部分。</w:t>
      </w:r>
    </w:p>
    <w:p>
      <w:pPr>
        <w:shd w:val="clear" w:color="auto" w:fill="FFFFFF"/>
        <w:rPr>
          <w:color w:val="auto"/>
          <w:highlight w:val="none"/>
        </w:rPr>
      </w:pPr>
      <w:r>
        <w:rPr>
          <w:rFonts w:ascii="宋体" w:hAnsi="宋体" w:cs="宋体"/>
          <w:color w:val="auto"/>
          <w:sz w:val="27"/>
          <w:highlight w:val="none"/>
        </w:rPr>
        <w:t>　　3.如一方地址、电话、传真号码有变更，应在变更当日内书面通知对方，否则，应承担相应责任。</w:t>
      </w:r>
    </w:p>
    <w:p>
      <w:pPr>
        <w:shd w:val="clear" w:color="auto" w:fill="FFFFFF"/>
        <w:rPr>
          <w:color w:val="auto"/>
          <w:highlight w:val="none"/>
        </w:rPr>
      </w:pPr>
      <w:r>
        <w:rPr>
          <w:rFonts w:ascii="宋体" w:hAnsi="宋体" w:cs="宋体"/>
          <w:color w:val="auto"/>
          <w:sz w:val="27"/>
          <w:highlight w:val="none"/>
        </w:rPr>
        <w:t>　　4.除甲方事先书面同意外，乙方不得部分或全部转让其应履行的合同项下的义务。</w:t>
      </w:r>
    </w:p>
    <w:p>
      <w:pPr>
        <w:shd w:val="clear" w:color="auto" w:fill="FFFFFF"/>
        <w:rPr>
          <w:color w:val="auto"/>
          <w:highlight w:val="none"/>
        </w:rPr>
      </w:pPr>
      <w:r>
        <w:rPr>
          <w:rFonts w:ascii="宋体" w:hAnsi="宋体" w:cs="宋体"/>
          <w:b/>
          <w:color w:val="auto"/>
          <w:sz w:val="27"/>
          <w:highlight w:val="none"/>
        </w:rPr>
        <w:t>十</w:t>
      </w:r>
      <w:r>
        <w:rPr>
          <w:rFonts w:hint="eastAsia" w:ascii="宋体" w:hAnsi="宋体" w:cs="宋体"/>
          <w:b/>
          <w:color w:val="auto"/>
          <w:sz w:val="27"/>
          <w:highlight w:val="none"/>
          <w:lang w:val="en-US" w:eastAsia="zh-CN"/>
        </w:rPr>
        <w:t>二</w:t>
      </w:r>
      <w:r>
        <w:rPr>
          <w:rFonts w:ascii="宋体" w:hAnsi="宋体" w:cs="宋体"/>
          <w:b/>
          <w:color w:val="auto"/>
          <w:sz w:val="27"/>
          <w:highlight w:val="none"/>
        </w:rPr>
        <w:t>、合同生效</w:t>
      </w:r>
    </w:p>
    <w:p>
      <w:pPr>
        <w:shd w:val="clear" w:color="auto" w:fill="FFFFFF"/>
        <w:rPr>
          <w:color w:val="auto"/>
          <w:highlight w:val="none"/>
        </w:rPr>
      </w:pPr>
      <w:r>
        <w:rPr>
          <w:rFonts w:ascii="宋体" w:hAnsi="宋体" w:cs="宋体"/>
          <w:color w:val="auto"/>
          <w:sz w:val="27"/>
          <w:highlight w:val="none"/>
        </w:rPr>
        <w:t>　　1.本合同在甲乙双方法人代表或其授权代表签字盖章后生效。</w:t>
      </w:r>
    </w:p>
    <w:p>
      <w:pPr>
        <w:shd w:val="clear" w:color="auto" w:fill="FFFFFF"/>
        <w:rPr>
          <w:color w:val="auto"/>
          <w:highlight w:val="none"/>
        </w:rPr>
      </w:pPr>
      <w:r>
        <w:rPr>
          <w:rFonts w:ascii="宋体" w:hAnsi="宋体" w:cs="宋体"/>
          <w:color w:val="auto"/>
          <w:sz w:val="27"/>
          <w:highlight w:val="none"/>
        </w:rPr>
        <w:t>　　2.合同一式    份。</w:t>
      </w:r>
    </w:p>
    <w:p>
      <w:pPr>
        <w:shd w:val="clear" w:color="auto" w:fill="FFFFFF"/>
        <w:rPr>
          <w:color w:val="auto"/>
          <w:highlight w:val="none"/>
        </w:rPr>
      </w:pPr>
      <w:r>
        <w:rPr>
          <w:rFonts w:ascii="Helvetica" w:hAnsi="Helvetica" w:eastAsia="Helvetica" w:cs="Helvetica"/>
          <w:color w:val="auto"/>
          <w:sz w:val="27"/>
          <w:highlight w:val="none"/>
        </w:rPr>
        <w:t xml:space="preserve"> </w:t>
      </w:r>
    </w:p>
    <w:p>
      <w:pPr>
        <w:shd w:val="clear" w:color="auto" w:fill="FFFFFF"/>
        <w:rPr>
          <w:color w:val="auto"/>
          <w:highlight w:val="none"/>
        </w:rPr>
      </w:pPr>
      <w:r>
        <w:rPr>
          <w:rFonts w:ascii="宋体" w:hAnsi="宋体" w:cs="宋体"/>
          <w:b/>
          <w:color w:val="auto"/>
          <w:sz w:val="27"/>
          <w:highlight w:val="none"/>
        </w:rPr>
        <w:t>甲方（盖章）：               乙方（盖章）：</w:t>
      </w:r>
    </w:p>
    <w:p>
      <w:pPr>
        <w:shd w:val="clear" w:color="auto" w:fill="FFFFFF"/>
        <w:rPr>
          <w:color w:val="auto"/>
          <w:highlight w:val="none"/>
        </w:rPr>
      </w:pPr>
      <w:r>
        <w:rPr>
          <w:rFonts w:ascii="宋体" w:hAnsi="宋体" w:cs="宋体"/>
          <w:b/>
          <w:color w:val="auto"/>
          <w:sz w:val="27"/>
          <w:highlight w:val="none"/>
        </w:rPr>
        <w:t>代表：                      代表：</w:t>
      </w:r>
    </w:p>
    <w:p>
      <w:pPr>
        <w:shd w:val="clear" w:color="auto" w:fill="FFFFFF"/>
        <w:rPr>
          <w:color w:val="auto"/>
          <w:highlight w:val="none"/>
        </w:rPr>
      </w:pPr>
      <w:r>
        <w:rPr>
          <w:rFonts w:ascii="宋体" w:hAnsi="宋体" w:cs="宋体"/>
          <w:color w:val="auto"/>
          <w:sz w:val="27"/>
          <w:highlight w:val="none"/>
        </w:rPr>
        <w:t>签定地点：</w:t>
      </w:r>
    </w:p>
    <w:p>
      <w:pPr>
        <w:shd w:val="clear" w:color="auto" w:fill="FFFFFF"/>
        <w:rPr>
          <w:color w:val="auto"/>
          <w:highlight w:val="none"/>
        </w:rPr>
      </w:pPr>
      <w:r>
        <w:rPr>
          <w:rFonts w:ascii="宋体" w:hAnsi="宋体" w:cs="宋体"/>
          <w:color w:val="auto"/>
          <w:sz w:val="27"/>
          <w:highlight w:val="none"/>
        </w:rPr>
        <w:t>签定日期：　　　年　　月　　日 签定日期：　　　年　　月　　日</w:t>
      </w:r>
    </w:p>
    <w:p>
      <w:pPr>
        <w:shd w:val="clear" w:color="auto" w:fill="FFFFFF"/>
        <w:rPr>
          <w:color w:val="auto"/>
          <w:highlight w:val="none"/>
        </w:rPr>
      </w:pPr>
      <w:r>
        <w:rPr>
          <w:rFonts w:ascii="宋体" w:hAnsi="宋体" w:cs="宋体"/>
          <w:color w:val="auto"/>
          <w:sz w:val="27"/>
          <w:highlight w:val="none"/>
        </w:rPr>
        <w:t>开户名称：</w:t>
      </w:r>
    </w:p>
    <w:p>
      <w:pPr>
        <w:shd w:val="clear" w:color="auto" w:fill="FFFFFF"/>
        <w:rPr>
          <w:color w:val="auto"/>
          <w:highlight w:val="none"/>
        </w:rPr>
      </w:pPr>
      <w:r>
        <w:rPr>
          <w:rFonts w:ascii="宋体" w:hAnsi="宋体" w:cs="宋体"/>
          <w:color w:val="auto"/>
          <w:sz w:val="27"/>
          <w:highlight w:val="none"/>
        </w:rPr>
        <w:t>银行帐号：</w:t>
      </w:r>
    </w:p>
    <w:p>
      <w:pPr>
        <w:shd w:val="clear" w:color="auto" w:fill="FFFFFF"/>
        <w:rPr>
          <w:color w:val="auto"/>
          <w:highlight w:val="none"/>
        </w:rPr>
      </w:pPr>
      <w:r>
        <w:rPr>
          <w:rFonts w:ascii="宋体" w:hAnsi="宋体" w:cs="宋体"/>
          <w:color w:val="auto"/>
          <w:sz w:val="27"/>
          <w:highlight w:val="none"/>
        </w:rPr>
        <w:t>开</w:t>
      </w:r>
      <w:r>
        <w:rPr>
          <w:rFonts w:ascii="宋体" w:hAnsi="宋体" w:cs="宋体"/>
          <w:color w:val="auto"/>
          <w:sz w:val="27"/>
          <w:highlight w:val="none"/>
        </w:rPr>
        <w:tab/>
      </w:r>
      <w:r>
        <w:rPr>
          <w:rFonts w:ascii="宋体" w:hAnsi="宋体" w:cs="宋体"/>
          <w:color w:val="auto"/>
          <w:sz w:val="27"/>
          <w:highlight w:val="none"/>
        </w:rPr>
        <w:tab/>
      </w:r>
      <w:r>
        <w:rPr>
          <w:rFonts w:ascii="宋体" w:hAnsi="宋体" w:cs="宋体"/>
          <w:color w:val="auto"/>
          <w:sz w:val="27"/>
          <w:highlight w:val="none"/>
        </w:rPr>
        <w:tab/>
      </w:r>
      <w:r>
        <w:rPr>
          <w:rFonts w:ascii="宋体" w:hAnsi="宋体" w:cs="宋体"/>
          <w:color w:val="auto"/>
          <w:sz w:val="27"/>
          <w:highlight w:val="none"/>
        </w:rPr>
        <w:tab/>
      </w:r>
      <w:r>
        <w:rPr>
          <w:rFonts w:ascii="宋体" w:hAnsi="宋体" w:cs="宋体"/>
          <w:color w:val="auto"/>
          <w:sz w:val="27"/>
          <w:highlight w:val="none"/>
        </w:rPr>
        <w:tab/>
      </w:r>
      <w:r>
        <w:rPr>
          <w:rFonts w:ascii="宋体" w:hAnsi="宋体" w:cs="宋体"/>
          <w:color w:val="auto"/>
          <w:sz w:val="27"/>
          <w:highlight w:val="none"/>
        </w:rPr>
        <w:t xml:space="preserve"> 户 行：</w:t>
      </w: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356"/>
        <w:ind w:firstLine="0" w:firstLineChars="0"/>
        <w:rPr>
          <w:color w:val="auto"/>
          <w:sz w:val="21"/>
          <w:szCs w:val="21"/>
          <w:highlight w:val="none"/>
          <w:lang w:eastAsia="zh-CN"/>
        </w:rPr>
      </w:pPr>
    </w:p>
    <w:p>
      <w:pPr>
        <w:pStyle w:val="2"/>
        <w:rPr>
          <w:color w:val="auto"/>
          <w:highlight w:val="none"/>
        </w:rPr>
      </w:pPr>
      <w:r>
        <w:rPr>
          <w:color w:val="auto"/>
          <w:highlight w:val="none"/>
        </w:rPr>
        <w:br w:type="page"/>
      </w:r>
      <w:bookmarkStart w:id="100" w:name="_Toc104040701"/>
      <w:bookmarkStart w:id="101" w:name="_Toc114516598"/>
      <w:bookmarkStart w:id="102" w:name="_Toc103216638"/>
      <w:r>
        <w:rPr>
          <w:rFonts w:hint="eastAsia"/>
          <w:color w:val="auto"/>
          <w:highlight w:val="none"/>
        </w:rPr>
        <w:t>第六章 响应文件格式</w:t>
      </w:r>
      <w:bookmarkEnd w:id="92"/>
      <w:bookmarkEnd w:id="93"/>
      <w:bookmarkEnd w:id="94"/>
      <w:bookmarkEnd w:id="95"/>
      <w:bookmarkEnd w:id="96"/>
      <w:bookmarkEnd w:id="97"/>
      <w:r>
        <w:rPr>
          <w:rFonts w:hint="eastAsia"/>
          <w:color w:val="auto"/>
          <w:highlight w:val="none"/>
        </w:rPr>
        <w:t>与要求</w:t>
      </w:r>
      <w:bookmarkEnd w:id="100"/>
      <w:bookmarkEnd w:id="101"/>
      <w:bookmarkEnd w:id="102"/>
    </w:p>
    <w:p>
      <w:pPr>
        <w:pStyle w:val="2"/>
        <w:ind w:firstLine="420" w:firstLineChars="200"/>
        <w:rPr>
          <w:rFonts w:ascii="宋体" w:hAnsi="宋体"/>
          <w:color w:val="auto"/>
          <w:szCs w:val="20"/>
          <w:highlight w:val="none"/>
        </w:rPr>
      </w:pPr>
      <w:r>
        <w:rPr>
          <w:rFonts w:hint="eastAsia" w:ascii="宋体" w:hAnsi="宋体"/>
          <w:color w:val="auto"/>
          <w:szCs w:val="20"/>
          <w:highlight w:val="none"/>
        </w:rPr>
        <w:t>供应商应提交证明其有资格参加磋商和成交后有能力履行合同的相关文件，并作为其响应文件的一部分，所有文件必须真实可靠、不得伪造，否则将按相关规定予以处罚。</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1.法人或者其他组织的营业执照等证明文件，自然人的身份证明：</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 务所要提供执业许可证等证明文件；如供应商是个体工商户，要提供有效的“个体工商户营业执照”；如供应商是自然人，要提供有效的自然人身份证明。</w:t>
      </w:r>
    </w:p>
    <w:p>
      <w:pPr>
        <w:pStyle w:val="2"/>
        <w:ind w:firstLine="420" w:firstLineChars="200"/>
        <w:rPr>
          <w:rFonts w:ascii="宋体" w:hAnsi="宋体"/>
          <w:color w:val="auto"/>
          <w:szCs w:val="20"/>
          <w:highlight w:val="none"/>
        </w:rPr>
      </w:pPr>
      <w:r>
        <w:rPr>
          <w:rFonts w:hint="eastAsia" w:ascii="宋体" w:hAnsi="宋体"/>
          <w:color w:val="auto"/>
          <w:szCs w:val="20"/>
          <w:highlight w:val="none"/>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2.财务状况报告，依法缴纳税收和社会保障资金的相关材料（详见资格性审查表要求）</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3.具有履行合同所必需的设备和专业技术能力的声明。</w:t>
      </w:r>
    </w:p>
    <w:p>
      <w:pPr>
        <w:pStyle w:val="2"/>
        <w:ind w:firstLine="420" w:firstLineChars="200"/>
        <w:rPr>
          <w:rFonts w:ascii="宋体" w:hAnsi="宋体"/>
          <w:color w:val="auto"/>
          <w:szCs w:val="20"/>
          <w:highlight w:val="none"/>
        </w:rPr>
      </w:pPr>
      <w:r>
        <w:rPr>
          <w:rFonts w:hint="eastAsia" w:ascii="宋体" w:hAnsi="宋体"/>
          <w:color w:val="auto"/>
          <w:szCs w:val="20"/>
          <w:highlight w:val="none"/>
        </w:rPr>
        <w:t>4.供应商参加政府采购前三年内在经营活动中没有重大违法记录声明函。</w:t>
      </w:r>
    </w:p>
    <w:p>
      <w:pPr>
        <w:pStyle w:val="2"/>
        <w:ind w:firstLine="420" w:firstLineChars="200"/>
        <w:rPr>
          <w:rFonts w:ascii="宋体" w:hAnsi="宋体"/>
          <w:color w:val="auto"/>
          <w:szCs w:val="20"/>
          <w:highlight w:val="none"/>
        </w:rPr>
      </w:pPr>
      <w:r>
        <w:rPr>
          <w:rFonts w:hint="eastAsia" w:ascii="宋体" w:hAnsi="宋体"/>
          <w:color w:val="auto"/>
          <w:szCs w:val="20"/>
          <w:highlight w:val="none"/>
        </w:rPr>
        <w:t>5.信用记录查询</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（1）查询渠道：通过“信用中国”网站(www.creditchina.gov.cn)和“中国政府采购网”（www.ccgp.gov.cn）进行查询，具体以采购公告要求为准；</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（2）查询截止时点：</w:t>
      </w:r>
      <w:bookmarkStart w:id="103" w:name="_Hlk112009834"/>
      <w:r>
        <w:rPr>
          <w:rFonts w:hint="eastAsia" w:ascii="宋体" w:hAnsi="宋体"/>
          <w:color w:val="auto"/>
          <w:szCs w:val="20"/>
          <w:highlight w:val="none"/>
        </w:rPr>
        <w:t>提交响应文件截止日当天</w:t>
      </w:r>
      <w:bookmarkEnd w:id="103"/>
      <w:r>
        <w:rPr>
          <w:rFonts w:hint="eastAsia" w:ascii="宋体" w:hAnsi="宋体"/>
          <w:color w:val="auto"/>
          <w:szCs w:val="20"/>
          <w:highlight w:val="none"/>
        </w:rPr>
        <w:t>；</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（3）查询记录：对列入失信被执行人、重大税收违法案件当事人名单、政府采购严重违法失信行为记录名单、信用报告进行查询；</w:t>
      </w:r>
    </w:p>
    <w:p>
      <w:pPr>
        <w:pStyle w:val="2"/>
        <w:ind w:firstLine="420" w:firstLineChars="200"/>
        <w:rPr>
          <w:rFonts w:ascii="宋体" w:hAnsi="宋体"/>
          <w:color w:val="auto"/>
          <w:szCs w:val="20"/>
          <w:highlight w:val="none"/>
        </w:rPr>
      </w:pPr>
      <w:r>
        <w:rPr>
          <w:rFonts w:hint="eastAsia" w:ascii="宋体" w:hAnsi="宋体"/>
          <w:color w:val="auto"/>
          <w:szCs w:val="20"/>
          <w:highlight w:val="none"/>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按照采购文件要求，供应商应当提交的资格、资信证明文件。</w:t>
      </w:r>
    </w:p>
    <w:p>
      <w:pPr>
        <w:pStyle w:val="2"/>
        <w:rPr>
          <w:rFonts w:ascii="宋体" w:hAnsi="宋体"/>
          <w:color w:val="auto"/>
          <w:highlight w:val="none"/>
        </w:rPr>
      </w:pPr>
    </w:p>
    <w:p>
      <w:pPr>
        <w:rPr>
          <w:rFonts w:ascii="宋体" w:hAnsi="宋体"/>
          <w:b/>
          <w:bCs/>
          <w:color w:val="auto"/>
          <w:sz w:val="32"/>
          <w:szCs w:val="40"/>
          <w:highlight w:val="none"/>
        </w:rPr>
      </w:pPr>
      <w:r>
        <w:rPr>
          <w:rFonts w:ascii="宋体" w:hAnsi="宋体"/>
          <w:b/>
          <w:bCs/>
          <w:color w:val="auto"/>
          <w:sz w:val="32"/>
          <w:szCs w:val="40"/>
          <w:highlight w:val="none"/>
        </w:rPr>
        <w:br w:type="page"/>
      </w:r>
    </w:p>
    <w:p>
      <w:pPr>
        <w:jc w:val="center"/>
        <w:outlineLvl w:val="1"/>
        <w:rPr>
          <w:rFonts w:ascii="宋体" w:hAnsi="宋体"/>
          <w:b/>
          <w:bCs/>
          <w:color w:val="auto"/>
          <w:sz w:val="32"/>
          <w:szCs w:val="40"/>
          <w:highlight w:val="none"/>
        </w:rPr>
      </w:pPr>
      <w:bookmarkStart w:id="104" w:name="_Hlk112010057"/>
      <w:r>
        <w:rPr>
          <w:rFonts w:hint="eastAsia" w:ascii="宋体" w:hAnsi="宋体"/>
          <w:b/>
          <w:bCs/>
          <w:color w:val="auto"/>
          <w:sz w:val="32"/>
          <w:szCs w:val="40"/>
          <w:highlight w:val="none"/>
        </w:rPr>
        <w:t>响应文件封面（参考）</w:t>
      </w:r>
    </w:p>
    <w:bookmarkEnd w:id="104"/>
    <w:p>
      <w:pPr>
        <w:pStyle w:val="2"/>
        <w:rPr>
          <w:color w:val="auto"/>
          <w:highlight w:val="none"/>
        </w:rPr>
      </w:pPr>
      <w:bookmarkStart w:id="105" w:name="_Toc462677235"/>
      <w:bookmarkStart w:id="106" w:name="_Toc67046895"/>
      <w:bookmarkStart w:id="107" w:name="_Toc104040702"/>
      <w:bookmarkStart w:id="108" w:name="_Toc259090983"/>
      <w:bookmarkStart w:id="109" w:name="_Toc6322297"/>
      <w:bookmarkStart w:id="110" w:name="_Toc276645580"/>
      <w:bookmarkStart w:id="111" w:name="_Toc103033234"/>
      <w:bookmarkStart w:id="112" w:name="_Toc6397152"/>
      <w:bookmarkStart w:id="113" w:name="_Toc32977098"/>
      <w:bookmarkStart w:id="114" w:name="_Toc6727973"/>
    </w:p>
    <w:p>
      <w:pPr>
        <w:pStyle w:val="2"/>
        <w:rPr>
          <w:color w:val="auto"/>
          <w:sz w:val="40"/>
          <w:szCs w:val="36"/>
          <w:highlight w:val="none"/>
        </w:rPr>
      </w:pPr>
    </w:p>
    <w:p>
      <w:pPr>
        <w:pStyle w:val="2"/>
        <w:jc w:val="center"/>
        <w:rPr>
          <w:b/>
          <w:bCs/>
          <w:color w:val="auto"/>
          <w:sz w:val="84"/>
          <w:szCs w:val="84"/>
          <w:highlight w:val="none"/>
        </w:rPr>
      </w:pPr>
      <w:r>
        <w:rPr>
          <w:rFonts w:hint="eastAsia"/>
          <w:b/>
          <w:bCs/>
          <w:color w:val="auto"/>
          <w:sz w:val="84"/>
          <w:szCs w:val="84"/>
          <w:highlight w:val="none"/>
        </w:rPr>
        <w:t>投标文件</w:t>
      </w:r>
    </w:p>
    <w:p>
      <w:pPr>
        <w:pStyle w:val="2"/>
        <w:jc w:val="center"/>
        <w:rPr>
          <w:b/>
          <w:bCs/>
          <w:color w:val="auto"/>
          <w:sz w:val="84"/>
          <w:szCs w:val="84"/>
          <w:highlight w:val="none"/>
        </w:rPr>
      </w:pPr>
    </w:p>
    <w:p>
      <w:pPr>
        <w:pStyle w:val="2"/>
        <w:ind w:firstLine="643"/>
        <w:jc w:val="center"/>
        <w:rPr>
          <w:b/>
          <w:bCs/>
          <w:color w:val="auto"/>
          <w:sz w:val="44"/>
          <w:szCs w:val="44"/>
          <w:highlight w:val="none"/>
        </w:rPr>
      </w:pPr>
      <w:r>
        <w:rPr>
          <w:rFonts w:hint="eastAsia"/>
          <w:b/>
          <w:bCs/>
          <w:color w:val="auto"/>
          <w:sz w:val="44"/>
          <w:szCs w:val="44"/>
          <w:highlight w:val="none"/>
        </w:rPr>
        <w:t>正本/副本</w:t>
      </w:r>
    </w:p>
    <w:p>
      <w:pPr>
        <w:pStyle w:val="2"/>
        <w:jc w:val="center"/>
        <w:rPr>
          <w:b/>
          <w:bCs/>
          <w:color w:val="auto"/>
          <w:sz w:val="84"/>
          <w:szCs w:val="84"/>
          <w:highlight w:val="none"/>
        </w:rPr>
      </w:pPr>
    </w:p>
    <w:p>
      <w:pPr>
        <w:pStyle w:val="2"/>
        <w:ind w:firstLine="640"/>
        <w:rPr>
          <w:color w:val="auto"/>
          <w:sz w:val="56"/>
          <w:szCs w:val="52"/>
          <w:highlight w:val="none"/>
        </w:rPr>
      </w:pPr>
    </w:p>
    <w:p>
      <w:pPr>
        <w:pStyle w:val="2"/>
        <w:rPr>
          <w:color w:val="auto"/>
          <w:sz w:val="28"/>
          <w:szCs w:val="28"/>
          <w:highlight w:val="none"/>
        </w:rPr>
      </w:pPr>
      <w:r>
        <w:rPr>
          <w:rFonts w:hint="eastAsia"/>
          <w:color w:val="auto"/>
          <w:sz w:val="28"/>
          <w:szCs w:val="28"/>
          <w:highlight w:val="none"/>
        </w:rPr>
        <w:t>项目编号：</w:t>
      </w:r>
    </w:p>
    <w:p>
      <w:pPr>
        <w:pStyle w:val="2"/>
        <w:rPr>
          <w:color w:val="auto"/>
          <w:sz w:val="28"/>
          <w:szCs w:val="28"/>
          <w:highlight w:val="none"/>
        </w:rPr>
      </w:pPr>
      <w:r>
        <w:rPr>
          <w:rFonts w:hint="eastAsia"/>
          <w:color w:val="auto"/>
          <w:sz w:val="28"/>
          <w:szCs w:val="28"/>
          <w:highlight w:val="none"/>
        </w:rPr>
        <w:t>项目名称：</w:t>
      </w:r>
    </w:p>
    <w:p>
      <w:pPr>
        <w:pStyle w:val="2"/>
        <w:rPr>
          <w:color w:val="auto"/>
          <w:sz w:val="28"/>
          <w:szCs w:val="28"/>
          <w:highlight w:val="none"/>
        </w:rPr>
      </w:pPr>
      <w:r>
        <w:rPr>
          <w:rFonts w:hint="eastAsia"/>
          <w:color w:val="auto"/>
          <w:sz w:val="28"/>
          <w:szCs w:val="28"/>
          <w:highlight w:val="none"/>
        </w:rPr>
        <w:t>投标人名称：</w:t>
      </w:r>
    </w:p>
    <w:p>
      <w:pPr>
        <w:pStyle w:val="2"/>
        <w:rPr>
          <w:color w:val="auto"/>
          <w:sz w:val="28"/>
          <w:szCs w:val="28"/>
          <w:highlight w:val="none"/>
        </w:rPr>
      </w:pPr>
      <w:r>
        <w:rPr>
          <w:rFonts w:hint="eastAsia"/>
          <w:color w:val="auto"/>
          <w:sz w:val="28"/>
          <w:szCs w:val="28"/>
          <w:highlight w:val="none"/>
        </w:rPr>
        <w:t>投标人地址：</w:t>
      </w:r>
    </w:p>
    <w:p>
      <w:pPr>
        <w:pStyle w:val="2"/>
        <w:rPr>
          <w:color w:val="auto"/>
          <w:sz w:val="28"/>
          <w:szCs w:val="28"/>
          <w:highlight w:val="none"/>
        </w:rPr>
      </w:pPr>
      <w:r>
        <w:rPr>
          <w:rFonts w:hint="eastAsia"/>
          <w:color w:val="auto"/>
          <w:sz w:val="28"/>
          <w:szCs w:val="28"/>
          <w:highlight w:val="none"/>
        </w:rPr>
        <w:t>投标人联系人及电话：</w:t>
      </w:r>
    </w:p>
    <w:p>
      <w:pPr>
        <w:pStyle w:val="2"/>
        <w:rPr>
          <w:color w:val="auto"/>
          <w:sz w:val="28"/>
          <w:szCs w:val="28"/>
          <w:highlight w:val="none"/>
        </w:rPr>
      </w:pPr>
    </w:p>
    <w:p>
      <w:pPr>
        <w:pStyle w:val="2"/>
        <w:jc w:val="center"/>
        <w:rPr>
          <w:color w:val="auto"/>
          <w:sz w:val="28"/>
          <w:szCs w:val="28"/>
          <w:highlight w:val="none"/>
        </w:rPr>
      </w:pPr>
      <w:r>
        <w:rPr>
          <w:rFonts w:hint="eastAsia"/>
          <w:color w:val="auto"/>
          <w:sz w:val="28"/>
          <w:szCs w:val="28"/>
          <w:highlight w:val="none"/>
        </w:rPr>
        <w:t>---于本项目提交投标文件截止时间之前不准启封---</w:t>
      </w:r>
    </w:p>
    <w:p>
      <w:pPr>
        <w:pStyle w:val="2"/>
        <w:jc w:val="center"/>
        <w:rPr>
          <w:color w:val="auto"/>
          <w:sz w:val="28"/>
          <w:szCs w:val="28"/>
          <w:highlight w:val="none"/>
        </w:rPr>
      </w:pPr>
    </w:p>
    <w:p>
      <w:pPr>
        <w:pStyle w:val="2"/>
        <w:jc w:val="center"/>
        <w:rPr>
          <w:color w:val="auto"/>
          <w:sz w:val="28"/>
          <w:szCs w:val="28"/>
          <w:highlight w:val="none"/>
          <w:u w:val="single"/>
        </w:rPr>
      </w:pPr>
      <w:r>
        <w:rPr>
          <w:rFonts w:hint="eastAsia"/>
          <w:color w:val="auto"/>
          <w:sz w:val="28"/>
          <w:szCs w:val="28"/>
          <w:highlight w:val="none"/>
        </w:rPr>
        <w:t>日期：</w:t>
      </w:r>
      <w:r>
        <w:rPr>
          <w:rFonts w:hint="eastAsia"/>
          <w:color w:val="auto"/>
          <w:sz w:val="28"/>
          <w:szCs w:val="28"/>
          <w:highlight w:val="none"/>
          <w:u w:val="single"/>
        </w:rPr>
        <w:t xml:space="preserve"> </w:t>
      </w:r>
      <w:r>
        <w:rPr>
          <w:color w:val="auto"/>
          <w:sz w:val="28"/>
          <w:szCs w:val="28"/>
          <w:highlight w:val="none"/>
          <w:u w:val="single"/>
        </w:rPr>
        <w:t xml:space="preserve">    </w:t>
      </w:r>
      <w:r>
        <w:rPr>
          <w:rFonts w:hint="eastAsia"/>
          <w:color w:val="auto"/>
          <w:sz w:val="28"/>
          <w:szCs w:val="28"/>
          <w:highlight w:val="none"/>
        </w:rPr>
        <w:t>年</w:t>
      </w:r>
      <w:r>
        <w:rPr>
          <w:rFonts w:hint="eastAsia"/>
          <w:color w:val="auto"/>
          <w:sz w:val="28"/>
          <w:szCs w:val="28"/>
          <w:highlight w:val="none"/>
          <w:u w:val="single"/>
        </w:rPr>
        <w:t xml:space="preserve"> </w:t>
      </w:r>
      <w:r>
        <w:rPr>
          <w:color w:val="auto"/>
          <w:sz w:val="28"/>
          <w:szCs w:val="28"/>
          <w:highlight w:val="none"/>
          <w:u w:val="single"/>
        </w:rPr>
        <w:t xml:space="preserve">   </w:t>
      </w:r>
      <w:r>
        <w:rPr>
          <w:rFonts w:hint="eastAsia"/>
          <w:color w:val="auto"/>
          <w:sz w:val="28"/>
          <w:szCs w:val="28"/>
          <w:highlight w:val="none"/>
        </w:rPr>
        <w:t>月</w:t>
      </w:r>
      <w:r>
        <w:rPr>
          <w:rFonts w:hint="eastAsia"/>
          <w:color w:val="auto"/>
          <w:sz w:val="28"/>
          <w:szCs w:val="28"/>
          <w:highlight w:val="none"/>
          <w:u w:val="single"/>
        </w:rPr>
        <w:t xml:space="preserve"> </w:t>
      </w:r>
      <w:r>
        <w:rPr>
          <w:color w:val="auto"/>
          <w:sz w:val="28"/>
          <w:szCs w:val="28"/>
          <w:highlight w:val="none"/>
          <w:u w:val="single"/>
        </w:rPr>
        <w:t xml:space="preserve">   </w:t>
      </w:r>
      <w:r>
        <w:rPr>
          <w:rFonts w:hint="eastAsia"/>
          <w:color w:val="auto"/>
          <w:sz w:val="28"/>
          <w:szCs w:val="28"/>
          <w:highlight w:val="none"/>
        </w:rPr>
        <w:t>日</w:t>
      </w:r>
    </w:p>
    <w:p>
      <w:pPr>
        <w:pStyle w:val="356"/>
        <w:ind w:firstLine="0" w:firstLineChars="0"/>
        <w:rPr>
          <w:color w:val="auto"/>
          <w:sz w:val="28"/>
          <w:szCs w:val="28"/>
          <w:highlight w:val="none"/>
          <w:lang w:eastAsia="zh-CN"/>
        </w:rPr>
      </w:pPr>
    </w:p>
    <w:p>
      <w:pPr>
        <w:rPr>
          <w:color w:val="auto"/>
          <w:highlight w:val="none"/>
        </w:rPr>
      </w:pPr>
      <w:r>
        <w:rPr>
          <w:color w:val="auto"/>
          <w:highlight w:val="none"/>
        </w:rPr>
        <w:br w:type="page"/>
      </w:r>
    </w:p>
    <w:p>
      <w:pPr>
        <w:rPr>
          <w:color w:val="auto"/>
          <w:highlight w:val="none"/>
        </w:rPr>
      </w:pPr>
      <w:r>
        <w:rPr>
          <w:rFonts w:hint="eastAsia"/>
          <w:color w:val="auto"/>
          <w:highlight w:val="none"/>
        </w:rPr>
        <w:t>说明：请供应商自行编制投标文件目录</w:t>
      </w:r>
    </w:p>
    <w:p>
      <w:pPr>
        <w:rPr>
          <w:color w:val="auto"/>
          <w:highlight w:val="none"/>
        </w:rPr>
      </w:pPr>
      <w:r>
        <w:rPr>
          <w:color w:val="auto"/>
          <w:highlight w:val="none"/>
        </w:rPr>
        <w:br w:type="page"/>
      </w:r>
    </w:p>
    <w:p>
      <w:pPr>
        <w:pStyle w:val="4"/>
        <w:jc w:val="center"/>
        <w:rPr>
          <w:color w:val="auto"/>
          <w:highlight w:val="none"/>
        </w:rPr>
      </w:pPr>
      <w:r>
        <w:rPr>
          <w:color w:val="auto"/>
          <w:highlight w:val="none"/>
        </w:rPr>
        <w:t>资格性索引表</w:t>
      </w:r>
    </w:p>
    <w:tbl>
      <w:tblPr>
        <w:tblStyle w:val="46"/>
        <w:tblW w:w="5000" w:type="pct"/>
        <w:tblInd w:w="0" w:type="dxa"/>
        <w:tblLayout w:type="autofit"/>
        <w:tblCellMar>
          <w:top w:w="0" w:type="dxa"/>
          <w:left w:w="108" w:type="dxa"/>
          <w:bottom w:w="0" w:type="dxa"/>
          <w:right w:w="108" w:type="dxa"/>
        </w:tblCellMar>
      </w:tblPr>
      <w:tblGrid>
        <w:gridCol w:w="652"/>
        <w:gridCol w:w="1914"/>
        <w:gridCol w:w="2881"/>
        <w:gridCol w:w="1746"/>
        <w:gridCol w:w="2049"/>
      </w:tblGrid>
      <w:tr>
        <w:tblPrEx>
          <w:tblCellMar>
            <w:top w:w="0" w:type="dxa"/>
            <w:left w:w="108" w:type="dxa"/>
            <w:bottom w:w="0" w:type="dxa"/>
            <w:right w:w="108" w:type="dxa"/>
          </w:tblCellMar>
        </w:tblPrEx>
        <w:trPr>
          <w:trHeight w:val="270" w:hRule="atLeast"/>
        </w:trPr>
        <w:tc>
          <w:tcPr>
            <w:tcW w:w="1353" w:type="pct"/>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color w:val="auto"/>
                <w:szCs w:val="21"/>
                <w:highlight w:val="none"/>
              </w:rPr>
            </w:pPr>
            <w:bookmarkStart w:id="115" w:name="RANGE!A1"/>
            <w:r>
              <w:rPr>
                <w:rFonts w:hint="eastAsia" w:ascii="宋体" w:hAnsi="宋体"/>
                <w:b/>
                <w:color w:val="auto"/>
                <w:szCs w:val="21"/>
                <w:highlight w:val="none"/>
              </w:rPr>
              <w:t>评审内容</w:t>
            </w:r>
            <w:bookmarkEnd w:id="115"/>
          </w:p>
        </w:tc>
        <w:tc>
          <w:tcPr>
            <w:tcW w:w="1570"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color w:val="auto"/>
                <w:szCs w:val="21"/>
                <w:highlight w:val="none"/>
              </w:rPr>
            </w:pPr>
            <w:r>
              <w:rPr>
                <w:rFonts w:hint="eastAsia" w:ascii="宋体" w:hAnsi="宋体"/>
                <w:b/>
                <w:color w:val="auto"/>
                <w:szCs w:val="21"/>
                <w:highlight w:val="none"/>
              </w:rPr>
              <w:t>采购文件要求</w:t>
            </w:r>
          </w:p>
        </w:tc>
        <w:tc>
          <w:tcPr>
            <w:tcW w:w="956"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color w:val="auto"/>
                <w:szCs w:val="21"/>
                <w:highlight w:val="none"/>
              </w:rPr>
            </w:pPr>
            <w:r>
              <w:rPr>
                <w:rFonts w:hint="eastAsia" w:ascii="宋体" w:hAnsi="宋体"/>
                <w:b/>
                <w:color w:val="auto"/>
                <w:szCs w:val="21"/>
                <w:highlight w:val="none"/>
              </w:rPr>
              <w:t>自查结论</w:t>
            </w:r>
          </w:p>
        </w:tc>
        <w:tc>
          <w:tcPr>
            <w:tcW w:w="1121"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color w:val="auto"/>
                <w:szCs w:val="21"/>
                <w:highlight w:val="none"/>
              </w:rPr>
            </w:pPr>
            <w:r>
              <w:rPr>
                <w:rFonts w:hint="eastAsia" w:ascii="宋体" w:hAnsi="宋体"/>
                <w:b/>
                <w:color w:val="auto"/>
                <w:szCs w:val="21"/>
                <w:highlight w:val="none"/>
              </w:rPr>
              <w:t>证明资料</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vAlign w:val="center"/>
          </w:tcPr>
          <w:p>
            <w:pPr>
              <w:spacing w:line="240" w:lineRule="auto"/>
              <w:ind w:left="113" w:right="113"/>
              <w:jc w:val="center"/>
              <w:rPr>
                <w:rFonts w:ascii="宋体" w:hAnsi="宋体"/>
                <w:color w:val="auto"/>
                <w:szCs w:val="21"/>
                <w:highlight w:val="none"/>
              </w:rPr>
            </w:pPr>
            <w:r>
              <w:rPr>
                <w:rFonts w:hint="eastAsia" w:ascii="宋体" w:hAnsi="宋体"/>
                <w:color w:val="auto"/>
                <w:szCs w:val="21"/>
                <w:highlight w:val="none"/>
              </w:rPr>
              <w:t>资格性审查表</w:t>
            </w: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color w:val="auto"/>
                <w:szCs w:val="21"/>
                <w:highlight w:val="none"/>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见响应文件第（）页</w:t>
            </w:r>
          </w:p>
        </w:tc>
      </w:tr>
      <w:tr>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color w:val="auto"/>
                <w:szCs w:val="21"/>
                <w:highlight w:val="none"/>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见响应文件第（）页</w:t>
            </w:r>
          </w:p>
        </w:tc>
      </w:tr>
      <w:tr>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color w:val="auto"/>
                <w:szCs w:val="21"/>
                <w:highlight w:val="none"/>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见响应文件第（）页</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right w:val="single" w:color="auto" w:sz="4" w:space="0"/>
            </w:tcBorders>
            <w:textDirection w:val="tbRlV"/>
            <w:vAlign w:val="center"/>
          </w:tcPr>
          <w:p>
            <w:pPr>
              <w:spacing w:line="240" w:lineRule="auto"/>
              <w:ind w:left="113" w:right="113"/>
              <w:jc w:val="center"/>
              <w:rPr>
                <w:rFonts w:ascii="宋体" w:hAnsi="宋体"/>
                <w:color w:val="auto"/>
                <w:szCs w:val="21"/>
                <w:highlight w:val="none"/>
              </w:rPr>
            </w:pPr>
            <w:r>
              <w:rPr>
                <w:rFonts w:hint="eastAsia" w:ascii="宋体" w:hAnsi="宋体"/>
                <w:color w:val="auto"/>
                <w:szCs w:val="21"/>
                <w:highlight w:val="none"/>
              </w:rPr>
              <w:t>符合性审查</w:t>
            </w: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ascii="宋体" w:hAnsi="宋体"/>
                <w:color w:val="auto"/>
                <w:szCs w:val="21"/>
                <w:highlight w:val="none"/>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ascii="宋体" w:hAnsi="宋体"/>
                <w:color w:val="auto"/>
                <w:szCs w:val="21"/>
                <w:highlight w:val="none"/>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见响应文件第（）页</w:t>
            </w:r>
          </w:p>
        </w:tc>
      </w:tr>
      <w:tr>
        <w:trPr>
          <w:trHeight w:val="20" w:hRule="atLeast"/>
        </w:trPr>
        <w:tc>
          <w:tcPr>
            <w:tcW w:w="307" w:type="pct"/>
            <w:vMerge w:val="continue"/>
            <w:tcBorders>
              <w:left w:val="single" w:color="auto" w:sz="4" w:space="0"/>
              <w:bottom w:val="single" w:color="auto" w:sz="4" w:space="0"/>
              <w:right w:val="single" w:color="auto" w:sz="4" w:space="0"/>
            </w:tcBorders>
            <w:textDirection w:val="tbRlV"/>
            <w:vAlign w:val="center"/>
          </w:tcPr>
          <w:p>
            <w:pPr>
              <w:rPr>
                <w:rFonts w:ascii="宋体" w:hAnsi="宋体"/>
                <w:color w:val="auto"/>
                <w:szCs w:val="21"/>
                <w:highlight w:val="none"/>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highlight w:val="none"/>
              </w:rPr>
            </w:pPr>
            <w:r>
              <w:rPr>
                <w:rFonts w:hint="eastAsia" w:ascii="宋体" w:hAnsi="宋体"/>
                <w:color w:val="auto"/>
                <w:szCs w:val="21"/>
                <w:highlight w:val="none"/>
              </w:rPr>
              <w:t>见响应文件第（）页</w:t>
            </w:r>
          </w:p>
        </w:tc>
      </w:tr>
    </w:tbl>
    <w:p>
      <w:pPr>
        <w:rPr>
          <w:rFonts w:ascii="宋体" w:hAnsi="宋体"/>
          <w:color w:val="auto"/>
          <w:sz w:val="32"/>
          <w:szCs w:val="32"/>
          <w:highlight w:val="none"/>
        </w:rPr>
      </w:pPr>
    </w:p>
    <w:p>
      <w:pPr>
        <w:rPr>
          <w:rFonts w:ascii="宋体" w:hAnsi="宋体"/>
          <w:color w:val="auto"/>
          <w:sz w:val="32"/>
          <w:szCs w:val="32"/>
          <w:highlight w:val="none"/>
        </w:rPr>
      </w:pPr>
      <w:r>
        <w:rPr>
          <w:rFonts w:ascii="宋体" w:hAnsi="宋体"/>
          <w:color w:val="auto"/>
          <w:sz w:val="32"/>
          <w:szCs w:val="32"/>
          <w:highlight w:val="none"/>
        </w:rPr>
        <w:br w:type="page"/>
      </w:r>
    </w:p>
    <w:p>
      <w:pPr>
        <w:pStyle w:val="4"/>
        <w:spacing w:line="276" w:lineRule="auto"/>
        <w:jc w:val="center"/>
        <w:rPr>
          <w:color w:val="auto"/>
          <w:highlight w:val="none"/>
        </w:rPr>
      </w:pPr>
      <w:r>
        <w:rPr>
          <w:color w:val="auto"/>
          <w:highlight w:val="none"/>
        </w:rPr>
        <w:t>评审细则索引表</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6"/>
        <w:gridCol w:w="5031"/>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15" w:type="pct"/>
            <w:vAlign w:val="center"/>
          </w:tcPr>
          <w:p>
            <w:pPr>
              <w:pStyle w:val="291"/>
              <w:keepNext w:val="0"/>
              <w:snapToGrid w:val="0"/>
              <w:spacing w:before="0" w:after="0" w:line="276" w:lineRule="auto"/>
              <w:textAlignment w:val="auto"/>
              <w:rPr>
                <w:rFonts w:ascii="宋体" w:hAnsi="宋体"/>
                <w:b/>
                <w:bCs/>
                <w:snapToGrid/>
                <w:color w:val="auto"/>
                <w:spacing w:val="0"/>
                <w:kern w:val="2"/>
                <w:szCs w:val="24"/>
                <w:highlight w:val="none"/>
              </w:rPr>
            </w:pPr>
            <w:r>
              <w:rPr>
                <w:rFonts w:hint="eastAsia" w:ascii="宋体" w:hAnsi="宋体"/>
                <w:b/>
                <w:bCs/>
                <w:snapToGrid/>
                <w:color w:val="auto"/>
                <w:spacing w:val="0"/>
                <w:kern w:val="2"/>
                <w:szCs w:val="24"/>
                <w:highlight w:val="none"/>
              </w:rPr>
              <w:t>评审分项</w:t>
            </w:r>
          </w:p>
        </w:tc>
        <w:tc>
          <w:tcPr>
            <w:tcW w:w="2722" w:type="pct"/>
            <w:vAlign w:val="center"/>
          </w:tcPr>
          <w:p>
            <w:pPr>
              <w:pStyle w:val="291"/>
              <w:keepNext w:val="0"/>
              <w:snapToGrid w:val="0"/>
              <w:spacing w:before="0" w:after="0" w:line="276" w:lineRule="auto"/>
              <w:textAlignment w:val="auto"/>
              <w:rPr>
                <w:rFonts w:ascii="宋体" w:hAnsi="宋体"/>
                <w:b/>
                <w:bCs/>
                <w:snapToGrid/>
                <w:color w:val="auto"/>
                <w:spacing w:val="0"/>
                <w:kern w:val="2"/>
                <w:szCs w:val="24"/>
                <w:highlight w:val="none"/>
              </w:rPr>
            </w:pPr>
            <w:r>
              <w:rPr>
                <w:rFonts w:hint="eastAsia" w:ascii="宋体" w:hAnsi="宋体"/>
                <w:b/>
                <w:bCs/>
                <w:snapToGrid/>
                <w:color w:val="auto"/>
                <w:spacing w:val="0"/>
                <w:kern w:val="2"/>
                <w:szCs w:val="24"/>
                <w:highlight w:val="none"/>
              </w:rPr>
              <w:t>评审细则</w:t>
            </w:r>
          </w:p>
        </w:tc>
        <w:tc>
          <w:tcPr>
            <w:tcW w:w="1463" w:type="pct"/>
            <w:vAlign w:val="center"/>
          </w:tcPr>
          <w:p>
            <w:pPr>
              <w:pStyle w:val="291"/>
              <w:keepNext w:val="0"/>
              <w:snapToGrid w:val="0"/>
              <w:spacing w:before="0" w:after="0" w:line="276" w:lineRule="auto"/>
              <w:textAlignment w:val="auto"/>
              <w:rPr>
                <w:rFonts w:ascii="宋体" w:hAnsi="宋体"/>
                <w:b/>
                <w:bCs/>
                <w:snapToGrid/>
                <w:color w:val="auto"/>
                <w:spacing w:val="0"/>
                <w:kern w:val="2"/>
                <w:szCs w:val="24"/>
                <w:highlight w:val="none"/>
              </w:rPr>
            </w:pPr>
            <w:r>
              <w:rPr>
                <w:rFonts w:hint="eastAsia" w:ascii="宋体" w:hAnsi="宋体"/>
                <w:b/>
                <w:bCs/>
                <w:snapToGrid/>
                <w:color w:val="auto"/>
                <w:spacing w:val="0"/>
                <w:kern w:val="2"/>
                <w:szCs w:val="24"/>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restart"/>
            <w:textDirection w:val="tbRlV"/>
            <w:vAlign w:val="center"/>
          </w:tcPr>
          <w:p>
            <w:pPr>
              <w:ind w:left="113" w:right="113"/>
              <w:jc w:val="center"/>
              <w:rPr>
                <w:rFonts w:ascii="宋体" w:hAnsi="宋体" w:cs="宋体"/>
                <w:color w:val="auto"/>
                <w:sz w:val="24"/>
                <w:highlight w:val="none"/>
              </w:rPr>
            </w:pPr>
            <w:r>
              <w:rPr>
                <w:rFonts w:hint="eastAsia" w:ascii="宋体" w:hAnsi="宋体" w:cs="宋体"/>
                <w:color w:val="auto"/>
                <w:sz w:val="24"/>
                <w:highlight w:val="none"/>
              </w:rPr>
              <w:t>技术商务评分</w:t>
            </w:r>
          </w:p>
        </w:tc>
        <w:tc>
          <w:tcPr>
            <w:tcW w:w="2722" w:type="pct"/>
            <w:vAlign w:val="center"/>
          </w:tcPr>
          <w:p>
            <w:pPr>
              <w:pStyle w:val="33"/>
              <w:adjustRightInd w:val="0"/>
              <w:snapToGrid w:val="0"/>
              <w:rPr>
                <w:rFonts w:ascii="宋体" w:hAnsi="宋体"/>
                <w:bCs/>
                <w:color w:val="auto"/>
                <w:sz w:val="24"/>
                <w:szCs w:val="24"/>
                <w:highlight w:val="none"/>
              </w:rPr>
            </w:pPr>
          </w:p>
        </w:tc>
        <w:tc>
          <w:tcPr>
            <w:tcW w:w="1463" w:type="pct"/>
            <w:vAlign w:val="center"/>
          </w:tcPr>
          <w:p>
            <w:pPr>
              <w:pStyle w:val="33"/>
              <w:adjustRightInd w:val="0"/>
              <w:snapToGrid w:val="0"/>
              <w:rPr>
                <w:rFonts w:ascii="宋体" w:hAnsi="宋体"/>
                <w:color w:val="auto"/>
                <w:sz w:val="24"/>
                <w:szCs w:val="24"/>
                <w:highlight w:val="none"/>
              </w:rPr>
            </w:pPr>
            <w:r>
              <w:rPr>
                <w:rFonts w:hint="eastAsia" w:ascii="宋体" w:hAnsi="宋体"/>
                <w:color w:val="auto"/>
                <w:sz w:val="24"/>
                <w:szCs w:val="24"/>
                <w:highlight w:val="none"/>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continue"/>
            <w:textDirection w:val="tbRlV"/>
            <w:vAlign w:val="center"/>
          </w:tcPr>
          <w:p>
            <w:pPr>
              <w:ind w:left="113" w:right="113"/>
              <w:jc w:val="center"/>
              <w:rPr>
                <w:rFonts w:ascii="宋体" w:hAnsi="宋体" w:cs="宋体"/>
                <w:color w:val="auto"/>
                <w:sz w:val="24"/>
                <w:highlight w:val="none"/>
              </w:rPr>
            </w:pPr>
          </w:p>
        </w:tc>
        <w:tc>
          <w:tcPr>
            <w:tcW w:w="2722" w:type="pct"/>
            <w:vAlign w:val="center"/>
          </w:tcPr>
          <w:p>
            <w:pPr>
              <w:pStyle w:val="33"/>
              <w:adjustRightInd w:val="0"/>
              <w:snapToGrid w:val="0"/>
              <w:rPr>
                <w:rFonts w:ascii="宋体" w:hAnsi="宋体"/>
                <w:color w:val="auto"/>
                <w:sz w:val="24"/>
                <w:szCs w:val="24"/>
                <w:highlight w:val="none"/>
              </w:rPr>
            </w:pPr>
          </w:p>
        </w:tc>
        <w:tc>
          <w:tcPr>
            <w:tcW w:w="1463" w:type="pct"/>
            <w:vAlign w:val="center"/>
          </w:tcPr>
          <w:p>
            <w:pPr>
              <w:pStyle w:val="33"/>
              <w:adjustRightInd w:val="0"/>
              <w:snapToGrid w:val="0"/>
              <w:rPr>
                <w:rFonts w:ascii="宋体" w:hAnsi="宋体"/>
                <w:color w:val="auto"/>
                <w:sz w:val="24"/>
                <w:szCs w:val="24"/>
                <w:highlight w:val="none"/>
              </w:rPr>
            </w:pPr>
            <w:r>
              <w:rPr>
                <w:rFonts w:hint="eastAsia" w:ascii="宋体" w:hAnsi="宋体"/>
                <w:color w:val="auto"/>
                <w:sz w:val="24"/>
                <w:szCs w:val="24"/>
                <w:highlight w:val="none"/>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815" w:type="pct"/>
            <w:vMerge w:val="continue"/>
            <w:textDirection w:val="tbRlV"/>
            <w:vAlign w:val="center"/>
          </w:tcPr>
          <w:p>
            <w:pPr>
              <w:ind w:left="113" w:right="113"/>
              <w:jc w:val="center"/>
              <w:rPr>
                <w:rFonts w:ascii="宋体" w:hAnsi="宋体" w:cs="宋体"/>
                <w:color w:val="auto"/>
                <w:sz w:val="24"/>
                <w:highlight w:val="none"/>
              </w:rPr>
            </w:pPr>
          </w:p>
        </w:tc>
        <w:tc>
          <w:tcPr>
            <w:tcW w:w="2722" w:type="pct"/>
            <w:vAlign w:val="center"/>
          </w:tcPr>
          <w:p>
            <w:pPr>
              <w:adjustRightInd w:val="0"/>
              <w:snapToGrid w:val="0"/>
              <w:rPr>
                <w:rFonts w:ascii="宋体" w:hAnsi="宋体"/>
                <w:color w:val="auto"/>
                <w:sz w:val="24"/>
                <w:highlight w:val="none"/>
              </w:rPr>
            </w:pPr>
          </w:p>
        </w:tc>
        <w:tc>
          <w:tcPr>
            <w:tcW w:w="1463" w:type="pct"/>
            <w:vAlign w:val="center"/>
          </w:tcPr>
          <w:p>
            <w:pPr>
              <w:adjustRightInd w:val="0"/>
              <w:snapToGrid w:val="0"/>
              <w:rPr>
                <w:rFonts w:ascii="宋体" w:hAnsi="宋体"/>
                <w:color w:val="auto"/>
                <w:sz w:val="24"/>
                <w:highlight w:val="none"/>
              </w:rPr>
            </w:pPr>
            <w:r>
              <w:rPr>
                <w:rFonts w:hint="eastAsia" w:ascii="宋体" w:hAnsi="宋体"/>
                <w:color w:val="auto"/>
                <w:sz w:val="24"/>
                <w:highlight w:val="none"/>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815" w:type="pct"/>
            <w:vMerge w:val="continue"/>
            <w:textDirection w:val="tbRlV"/>
            <w:vAlign w:val="center"/>
          </w:tcPr>
          <w:p>
            <w:pPr>
              <w:ind w:left="113" w:right="113"/>
              <w:jc w:val="center"/>
              <w:rPr>
                <w:rFonts w:ascii="宋体" w:hAnsi="宋体" w:cs="宋体"/>
                <w:color w:val="auto"/>
                <w:sz w:val="24"/>
                <w:highlight w:val="none"/>
              </w:rPr>
            </w:pPr>
          </w:p>
        </w:tc>
        <w:tc>
          <w:tcPr>
            <w:tcW w:w="2722" w:type="pct"/>
            <w:vAlign w:val="center"/>
          </w:tcPr>
          <w:p>
            <w:pPr>
              <w:adjustRightInd w:val="0"/>
              <w:snapToGrid w:val="0"/>
              <w:rPr>
                <w:rFonts w:ascii="宋体" w:hAnsi="宋体"/>
                <w:color w:val="auto"/>
                <w:sz w:val="24"/>
                <w:highlight w:val="none"/>
              </w:rPr>
            </w:pPr>
          </w:p>
        </w:tc>
        <w:tc>
          <w:tcPr>
            <w:tcW w:w="1463" w:type="pct"/>
            <w:vAlign w:val="center"/>
          </w:tcPr>
          <w:p>
            <w:pPr>
              <w:adjustRightInd w:val="0"/>
              <w:snapToGrid w:val="0"/>
              <w:rPr>
                <w:rFonts w:ascii="宋体" w:hAnsi="宋体"/>
                <w:color w:val="auto"/>
                <w:sz w:val="24"/>
                <w:highlight w:val="none"/>
              </w:rPr>
            </w:pPr>
            <w:r>
              <w:rPr>
                <w:rFonts w:hint="eastAsia" w:ascii="宋体" w:hAnsi="宋体"/>
                <w:color w:val="auto"/>
                <w:sz w:val="24"/>
                <w:highlight w:val="none"/>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trPr>
        <w:tc>
          <w:tcPr>
            <w:tcW w:w="815" w:type="pct"/>
            <w:vMerge w:val="continue"/>
            <w:textDirection w:val="tbRlV"/>
            <w:vAlign w:val="center"/>
          </w:tcPr>
          <w:p>
            <w:pPr>
              <w:ind w:left="113" w:right="113"/>
              <w:jc w:val="center"/>
              <w:rPr>
                <w:rFonts w:ascii="宋体" w:hAnsi="宋体" w:cs="宋体"/>
                <w:color w:val="auto"/>
                <w:sz w:val="24"/>
                <w:highlight w:val="none"/>
              </w:rPr>
            </w:pPr>
          </w:p>
        </w:tc>
        <w:tc>
          <w:tcPr>
            <w:tcW w:w="2722" w:type="pct"/>
            <w:vAlign w:val="center"/>
          </w:tcPr>
          <w:p>
            <w:pPr>
              <w:adjustRightInd w:val="0"/>
              <w:snapToGrid w:val="0"/>
              <w:rPr>
                <w:rFonts w:ascii="宋体" w:hAnsi="宋体"/>
                <w:color w:val="auto"/>
                <w:sz w:val="24"/>
                <w:highlight w:val="none"/>
              </w:rPr>
            </w:pPr>
          </w:p>
        </w:tc>
        <w:tc>
          <w:tcPr>
            <w:tcW w:w="1463" w:type="pct"/>
            <w:vAlign w:val="center"/>
          </w:tcPr>
          <w:p>
            <w:pPr>
              <w:adjustRightInd w:val="0"/>
              <w:snapToGrid w:val="0"/>
              <w:rPr>
                <w:rFonts w:ascii="宋体" w:hAnsi="宋体"/>
                <w:color w:val="auto"/>
                <w:sz w:val="24"/>
                <w:highlight w:val="none"/>
              </w:rPr>
            </w:pPr>
            <w:r>
              <w:rPr>
                <w:rFonts w:hint="eastAsia" w:ascii="宋体" w:hAnsi="宋体"/>
                <w:color w:val="auto"/>
                <w:sz w:val="24"/>
                <w:highlight w:val="none"/>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815" w:type="pct"/>
            <w:vMerge w:val="continue"/>
            <w:vAlign w:val="center"/>
          </w:tcPr>
          <w:p>
            <w:pPr>
              <w:adjustRightInd w:val="0"/>
              <w:snapToGrid w:val="0"/>
              <w:jc w:val="center"/>
              <w:rPr>
                <w:rFonts w:ascii="宋体" w:hAnsi="宋体"/>
                <w:color w:val="auto"/>
                <w:sz w:val="24"/>
                <w:highlight w:val="none"/>
              </w:rPr>
            </w:pPr>
          </w:p>
        </w:tc>
        <w:tc>
          <w:tcPr>
            <w:tcW w:w="2722" w:type="pct"/>
            <w:vAlign w:val="center"/>
          </w:tcPr>
          <w:p>
            <w:pPr>
              <w:adjustRightInd w:val="0"/>
              <w:snapToGrid w:val="0"/>
              <w:rPr>
                <w:rFonts w:ascii="宋体" w:hAnsi="宋体"/>
                <w:color w:val="auto"/>
                <w:sz w:val="24"/>
                <w:highlight w:val="none"/>
              </w:rPr>
            </w:pPr>
          </w:p>
        </w:tc>
        <w:tc>
          <w:tcPr>
            <w:tcW w:w="1463" w:type="pct"/>
            <w:vAlign w:val="center"/>
          </w:tcPr>
          <w:p>
            <w:pPr>
              <w:adjustRightInd w:val="0"/>
              <w:snapToGrid w:val="0"/>
              <w:rPr>
                <w:rFonts w:ascii="宋体" w:hAnsi="宋体"/>
                <w:color w:val="auto"/>
                <w:sz w:val="24"/>
                <w:highlight w:val="none"/>
              </w:rPr>
            </w:pPr>
            <w:r>
              <w:rPr>
                <w:rFonts w:hint="eastAsia" w:ascii="宋体" w:hAnsi="宋体"/>
                <w:color w:val="auto"/>
                <w:sz w:val="24"/>
                <w:highlight w:val="none"/>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continue"/>
            <w:vAlign w:val="center"/>
          </w:tcPr>
          <w:p>
            <w:pPr>
              <w:adjustRightInd w:val="0"/>
              <w:snapToGrid w:val="0"/>
              <w:jc w:val="center"/>
              <w:rPr>
                <w:rFonts w:ascii="宋体" w:hAnsi="宋体"/>
                <w:color w:val="auto"/>
                <w:sz w:val="24"/>
                <w:highlight w:val="none"/>
              </w:rPr>
            </w:pPr>
          </w:p>
        </w:tc>
        <w:tc>
          <w:tcPr>
            <w:tcW w:w="2722" w:type="pct"/>
            <w:vAlign w:val="center"/>
          </w:tcPr>
          <w:p>
            <w:pPr>
              <w:adjustRightInd w:val="0"/>
              <w:snapToGrid w:val="0"/>
              <w:rPr>
                <w:rFonts w:ascii="宋体" w:hAnsi="宋体"/>
                <w:color w:val="auto"/>
                <w:sz w:val="24"/>
                <w:highlight w:val="none"/>
              </w:rPr>
            </w:pPr>
          </w:p>
        </w:tc>
        <w:tc>
          <w:tcPr>
            <w:tcW w:w="1463" w:type="pct"/>
            <w:vAlign w:val="center"/>
          </w:tcPr>
          <w:p>
            <w:pPr>
              <w:adjustRightInd w:val="0"/>
              <w:snapToGrid w:val="0"/>
              <w:rPr>
                <w:rFonts w:ascii="宋体" w:hAnsi="宋体"/>
                <w:color w:val="auto"/>
                <w:sz w:val="24"/>
                <w:highlight w:val="none"/>
              </w:rPr>
            </w:pPr>
            <w:r>
              <w:rPr>
                <w:rFonts w:hint="eastAsia" w:ascii="宋体" w:hAnsi="宋体"/>
                <w:color w:val="auto"/>
                <w:sz w:val="24"/>
                <w:highlight w:val="none"/>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9" w:hRule="atLeast"/>
        </w:trPr>
        <w:tc>
          <w:tcPr>
            <w:tcW w:w="815" w:type="pct"/>
            <w:vMerge w:val="continue"/>
            <w:vAlign w:val="center"/>
          </w:tcPr>
          <w:p>
            <w:pPr>
              <w:adjustRightInd w:val="0"/>
              <w:snapToGrid w:val="0"/>
              <w:jc w:val="center"/>
              <w:rPr>
                <w:rFonts w:ascii="宋体" w:hAnsi="宋体"/>
                <w:color w:val="auto"/>
                <w:sz w:val="24"/>
                <w:highlight w:val="none"/>
              </w:rPr>
            </w:pPr>
          </w:p>
        </w:tc>
        <w:tc>
          <w:tcPr>
            <w:tcW w:w="2722" w:type="pct"/>
            <w:vAlign w:val="center"/>
          </w:tcPr>
          <w:p>
            <w:pPr>
              <w:pStyle w:val="33"/>
              <w:adjustRightInd w:val="0"/>
              <w:snapToGrid w:val="0"/>
              <w:rPr>
                <w:rFonts w:ascii="宋体" w:hAnsi="宋体"/>
                <w:color w:val="auto"/>
                <w:sz w:val="24"/>
                <w:szCs w:val="24"/>
                <w:highlight w:val="none"/>
              </w:rPr>
            </w:pPr>
          </w:p>
        </w:tc>
        <w:tc>
          <w:tcPr>
            <w:tcW w:w="1463" w:type="pct"/>
            <w:vAlign w:val="center"/>
          </w:tcPr>
          <w:p>
            <w:pPr>
              <w:pStyle w:val="33"/>
              <w:adjustRightInd w:val="0"/>
              <w:snapToGrid w:val="0"/>
              <w:rPr>
                <w:rFonts w:ascii="宋体" w:hAnsi="宋体"/>
                <w:color w:val="auto"/>
                <w:sz w:val="24"/>
                <w:szCs w:val="24"/>
                <w:highlight w:val="none"/>
              </w:rPr>
            </w:pPr>
            <w:r>
              <w:rPr>
                <w:rFonts w:hint="eastAsia" w:ascii="宋体" w:hAnsi="宋体"/>
                <w:color w:val="auto"/>
                <w:sz w:val="24"/>
                <w:szCs w:val="24"/>
                <w:highlight w:val="none"/>
              </w:rPr>
              <w:t>见响应文件第（）页</w:t>
            </w:r>
          </w:p>
        </w:tc>
      </w:tr>
    </w:tbl>
    <w:p>
      <w:pPr>
        <w:rPr>
          <w:rFonts w:ascii="宋体" w:hAnsi="宋体"/>
          <w:color w:val="auto"/>
          <w:sz w:val="32"/>
          <w:szCs w:val="32"/>
          <w:highlight w:val="none"/>
        </w:rPr>
      </w:pPr>
    </w:p>
    <w:p>
      <w:pPr>
        <w:rPr>
          <w:rFonts w:ascii="宋体" w:hAnsi="宋体"/>
          <w:b/>
          <w:bCs/>
          <w:color w:val="auto"/>
          <w:sz w:val="32"/>
          <w:szCs w:val="32"/>
          <w:highlight w:val="none"/>
        </w:rPr>
      </w:pPr>
      <w:r>
        <w:rPr>
          <w:rFonts w:ascii="宋体" w:hAnsi="宋体"/>
          <w:color w:val="auto"/>
          <w:sz w:val="32"/>
          <w:szCs w:val="32"/>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r>
        <w:rPr>
          <w:rFonts w:hint="eastAsia" w:ascii="宋体" w:hAnsi="宋体"/>
          <w:color w:val="auto"/>
          <w:szCs w:val="24"/>
          <w:highlight w:val="none"/>
        </w:rPr>
        <w:t>响应承诺函</w:t>
      </w:r>
      <w:bookmarkEnd w:id="105"/>
      <w:bookmarkEnd w:id="106"/>
      <w:bookmarkEnd w:id="107"/>
      <w:bookmarkEnd w:id="108"/>
      <w:bookmarkEnd w:id="109"/>
      <w:bookmarkEnd w:id="110"/>
      <w:bookmarkEnd w:id="111"/>
    </w:p>
    <w:p>
      <w:pPr>
        <w:jc w:val="center"/>
        <w:rPr>
          <w:rFonts w:ascii="宋体" w:hAnsi="宋体"/>
          <w:b/>
          <w:bCs/>
          <w:color w:val="auto"/>
          <w:sz w:val="28"/>
          <w:szCs w:val="28"/>
          <w:highlight w:val="none"/>
        </w:rPr>
      </w:pPr>
      <w:r>
        <w:rPr>
          <w:rFonts w:hint="eastAsia" w:ascii="宋体" w:hAnsi="宋体"/>
          <w:b/>
          <w:bCs/>
          <w:color w:val="auto"/>
          <w:sz w:val="28"/>
          <w:szCs w:val="28"/>
          <w:highlight w:val="none"/>
        </w:rPr>
        <w:t>响应承诺函</w:t>
      </w:r>
    </w:p>
    <w:p>
      <w:pPr>
        <w:adjustRightInd w:val="0"/>
        <w:snapToGrid w:val="0"/>
        <w:rPr>
          <w:rFonts w:ascii="宋体" w:hAnsi="宋体"/>
          <w:i/>
          <w:iCs/>
          <w:color w:val="auto"/>
          <w:sz w:val="24"/>
          <w:highlight w:val="none"/>
          <w:u w:val="single"/>
        </w:rPr>
      </w:pPr>
      <w:r>
        <w:rPr>
          <w:rFonts w:hint="eastAsia" w:ascii="宋体" w:hAnsi="宋体"/>
          <w:color w:val="auto"/>
          <w:sz w:val="24"/>
          <w:highlight w:val="none"/>
        </w:rPr>
        <w:t>致：</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（采购人名称）</w:t>
      </w:r>
    </w:p>
    <w:p>
      <w:pPr>
        <w:pStyle w:val="356"/>
        <w:rPr>
          <w:color w:val="auto"/>
          <w:highlight w:val="none"/>
          <w:lang w:eastAsia="zh-CN"/>
        </w:rPr>
      </w:pPr>
      <w:r>
        <w:rPr>
          <w:rFonts w:hint="eastAsia"/>
          <w:color w:val="auto"/>
          <w:highlight w:val="none"/>
          <w:lang w:eastAsia="zh-CN"/>
        </w:rPr>
        <w:t>你方组织的</w:t>
      </w:r>
      <w:r>
        <w:rPr>
          <w:rFonts w:hint="eastAsia"/>
          <w:color w:val="auto"/>
          <w:highlight w:val="none"/>
          <w:u w:val="single"/>
          <w:lang w:eastAsia="zh-CN"/>
        </w:rPr>
        <w:t xml:space="preserve"> </w:t>
      </w:r>
      <w:r>
        <w:rPr>
          <w:color w:val="auto"/>
          <w:highlight w:val="none"/>
          <w:u w:val="single"/>
          <w:lang w:eastAsia="zh-CN"/>
        </w:rPr>
        <w:t xml:space="preserve">       </w:t>
      </w:r>
      <w:r>
        <w:rPr>
          <w:rFonts w:hint="eastAsia"/>
          <w:color w:val="auto"/>
          <w:highlight w:val="none"/>
          <w:u w:val="single"/>
          <w:lang w:eastAsia="zh-CN"/>
        </w:rPr>
        <w:t>（项目名称）</w:t>
      </w:r>
      <w:r>
        <w:rPr>
          <w:color w:val="auto"/>
          <w:highlight w:val="none"/>
          <w:lang w:eastAsia="zh-CN"/>
        </w:rPr>
        <w:t>[项目编号：</w:t>
      </w:r>
      <w:r>
        <w:rPr>
          <w:color w:val="auto"/>
          <w:highlight w:val="none"/>
          <w:u w:val="single"/>
          <w:lang w:eastAsia="zh-CN"/>
        </w:rPr>
        <w:t xml:space="preserve">     </w:t>
      </w:r>
      <w:r>
        <w:rPr>
          <w:color w:val="auto"/>
          <w:highlight w:val="none"/>
          <w:lang w:eastAsia="zh-CN"/>
        </w:rPr>
        <w:t>]</w:t>
      </w:r>
      <w:r>
        <w:rPr>
          <w:rFonts w:hint="eastAsia"/>
          <w:color w:val="auto"/>
          <w:highlight w:val="none"/>
          <w:lang w:eastAsia="zh-CN"/>
        </w:rPr>
        <w:t>的竞争性磋商</w:t>
      </w:r>
      <w:r>
        <w:rPr>
          <w:color w:val="auto"/>
          <w:highlight w:val="none"/>
          <w:lang w:eastAsia="zh-CN"/>
        </w:rPr>
        <w:t>，我方愿参与</w:t>
      </w:r>
      <w:r>
        <w:rPr>
          <w:rFonts w:hint="eastAsia"/>
          <w:color w:val="auto"/>
          <w:highlight w:val="none"/>
          <w:lang w:eastAsia="zh-CN"/>
        </w:rPr>
        <w:t>响应</w:t>
      </w:r>
      <w:r>
        <w:rPr>
          <w:color w:val="auto"/>
          <w:highlight w:val="none"/>
          <w:lang w:eastAsia="zh-CN"/>
        </w:rPr>
        <w:t>。</w:t>
      </w:r>
    </w:p>
    <w:p>
      <w:pPr>
        <w:pStyle w:val="356"/>
        <w:rPr>
          <w:color w:val="auto"/>
          <w:highlight w:val="none"/>
          <w:lang w:eastAsia="zh-CN"/>
        </w:rPr>
      </w:pPr>
      <w:r>
        <w:rPr>
          <w:rFonts w:hint="eastAsia"/>
          <w:color w:val="auto"/>
          <w:highlight w:val="none"/>
          <w:lang w:eastAsia="zh-CN"/>
        </w:rPr>
        <w:t>我方确认收到贵方提供的</w:t>
      </w:r>
      <w:r>
        <w:rPr>
          <w:rFonts w:hint="eastAsia"/>
          <w:color w:val="auto"/>
          <w:highlight w:val="none"/>
          <w:u w:val="single"/>
          <w:lang w:eastAsia="zh-CN"/>
        </w:rPr>
        <w:t xml:space="preserve"> </w:t>
      </w:r>
      <w:r>
        <w:rPr>
          <w:color w:val="auto"/>
          <w:highlight w:val="none"/>
          <w:u w:val="single"/>
          <w:lang w:eastAsia="zh-CN"/>
        </w:rPr>
        <w:t xml:space="preserve">       </w:t>
      </w:r>
      <w:r>
        <w:rPr>
          <w:rFonts w:hint="eastAsia"/>
          <w:color w:val="auto"/>
          <w:highlight w:val="none"/>
          <w:u w:val="single"/>
          <w:lang w:eastAsia="zh-CN"/>
        </w:rPr>
        <w:t>（项目名称）</w:t>
      </w:r>
      <w:r>
        <w:rPr>
          <w:color w:val="auto"/>
          <w:highlight w:val="none"/>
          <w:lang w:eastAsia="zh-CN"/>
        </w:rPr>
        <w:t>的</w:t>
      </w:r>
      <w:r>
        <w:rPr>
          <w:rFonts w:hint="eastAsia"/>
          <w:color w:val="auto"/>
          <w:highlight w:val="none"/>
          <w:lang w:eastAsia="zh-CN"/>
        </w:rPr>
        <w:t>磋商</w:t>
      </w:r>
      <w:r>
        <w:rPr>
          <w:color w:val="auto"/>
          <w:highlight w:val="none"/>
          <w:lang w:eastAsia="zh-CN"/>
        </w:rPr>
        <w:t>文件的全部内容。</w:t>
      </w:r>
    </w:p>
    <w:p>
      <w:pPr>
        <w:pStyle w:val="356"/>
        <w:rPr>
          <w:color w:val="auto"/>
          <w:highlight w:val="none"/>
          <w:lang w:eastAsia="zh-CN"/>
        </w:rPr>
      </w:pPr>
      <w:r>
        <w:rPr>
          <w:rFonts w:hint="eastAsia"/>
          <w:color w:val="auto"/>
          <w:highlight w:val="none"/>
          <w:lang w:eastAsia="zh-CN"/>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356"/>
        <w:rPr>
          <w:color w:val="auto"/>
          <w:highlight w:val="none"/>
          <w:lang w:eastAsia="zh-CN"/>
        </w:rPr>
      </w:pPr>
      <w:r>
        <w:rPr>
          <w:color w:val="auto"/>
          <w:highlight w:val="none"/>
          <w:u w:val="single"/>
          <w:lang w:eastAsia="zh-CN"/>
        </w:rPr>
        <w:t xml:space="preserve">       </w:t>
      </w:r>
      <w:r>
        <w:rPr>
          <w:rFonts w:hint="eastAsia"/>
          <w:color w:val="auto"/>
          <w:highlight w:val="none"/>
          <w:u w:val="single"/>
          <w:lang w:eastAsia="zh-CN"/>
        </w:rPr>
        <w:t>（供应商</w:t>
      </w:r>
      <w:r>
        <w:rPr>
          <w:color w:val="auto"/>
          <w:highlight w:val="none"/>
          <w:u w:val="single"/>
          <w:lang w:eastAsia="zh-CN"/>
        </w:rPr>
        <w:t>名称</w:t>
      </w:r>
      <w:r>
        <w:rPr>
          <w:rFonts w:hint="eastAsia"/>
          <w:color w:val="auto"/>
          <w:highlight w:val="none"/>
          <w:u w:val="single"/>
          <w:lang w:eastAsia="zh-CN"/>
        </w:rPr>
        <w:t>）</w:t>
      </w:r>
      <w:r>
        <w:rPr>
          <w:color w:val="auto"/>
          <w:highlight w:val="none"/>
          <w:lang w:eastAsia="zh-CN"/>
        </w:rPr>
        <w:t>作为</w:t>
      </w:r>
      <w:r>
        <w:rPr>
          <w:rFonts w:hint="eastAsia"/>
          <w:color w:val="auto"/>
          <w:highlight w:val="none"/>
          <w:lang w:eastAsia="zh-CN"/>
        </w:rPr>
        <w:t>供应商</w:t>
      </w:r>
      <w:r>
        <w:rPr>
          <w:color w:val="auto"/>
          <w:highlight w:val="none"/>
          <w:lang w:eastAsia="zh-CN"/>
        </w:rPr>
        <w:t>正式授权</w:t>
      </w:r>
      <w:r>
        <w:rPr>
          <w:rFonts w:hint="eastAsia"/>
          <w:color w:val="auto"/>
          <w:highlight w:val="none"/>
          <w:u w:val="single"/>
          <w:lang w:eastAsia="zh-CN"/>
        </w:rPr>
        <w:t xml:space="preserve"> </w:t>
      </w:r>
      <w:r>
        <w:rPr>
          <w:color w:val="auto"/>
          <w:highlight w:val="none"/>
          <w:u w:val="single"/>
          <w:lang w:eastAsia="zh-CN"/>
        </w:rPr>
        <w:t xml:space="preserve">      </w:t>
      </w:r>
      <w:r>
        <w:rPr>
          <w:rFonts w:hint="eastAsia"/>
          <w:color w:val="auto"/>
          <w:highlight w:val="none"/>
          <w:u w:val="single"/>
          <w:lang w:eastAsia="zh-CN"/>
        </w:rPr>
        <w:t>（</w:t>
      </w:r>
      <w:r>
        <w:rPr>
          <w:color w:val="auto"/>
          <w:highlight w:val="none"/>
          <w:u w:val="single"/>
          <w:lang w:eastAsia="zh-CN"/>
        </w:rPr>
        <w:t>授权代表全名,职务</w:t>
      </w:r>
      <w:r>
        <w:rPr>
          <w:rFonts w:hint="eastAsia"/>
          <w:color w:val="auto"/>
          <w:highlight w:val="none"/>
          <w:u w:val="single"/>
          <w:lang w:eastAsia="zh-CN"/>
        </w:rPr>
        <w:t>）</w:t>
      </w:r>
      <w:r>
        <w:rPr>
          <w:color w:val="auto"/>
          <w:highlight w:val="none"/>
          <w:lang w:eastAsia="zh-CN"/>
        </w:rPr>
        <w:t>代表</w:t>
      </w:r>
      <w:r>
        <w:rPr>
          <w:rFonts w:hint="eastAsia"/>
          <w:color w:val="auto"/>
          <w:highlight w:val="none"/>
          <w:lang w:eastAsia="zh-CN"/>
        </w:rPr>
        <w:t>我方全权处理有关本响应的一切事宜</w:t>
      </w:r>
      <w:r>
        <w:rPr>
          <w:color w:val="auto"/>
          <w:highlight w:val="none"/>
          <w:lang w:eastAsia="zh-CN"/>
        </w:rPr>
        <w:t xml:space="preserve">。   </w:t>
      </w:r>
    </w:p>
    <w:p>
      <w:pPr>
        <w:pStyle w:val="356"/>
        <w:rPr>
          <w:color w:val="auto"/>
          <w:highlight w:val="none"/>
          <w:lang w:eastAsia="zh-CN"/>
        </w:rPr>
      </w:pPr>
      <w:r>
        <w:rPr>
          <w:rFonts w:hint="eastAsia"/>
          <w:color w:val="auto"/>
          <w:highlight w:val="none"/>
          <w:lang w:eastAsia="zh-CN"/>
        </w:rPr>
        <w:t>我方已完全明白磋商文件的所有条款要求，并申明如下：</w:t>
      </w:r>
    </w:p>
    <w:p>
      <w:pPr>
        <w:pStyle w:val="356"/>
        <w:rPr>
          <w:color w:val="auto"/>
          <w:highlight w:val="none"/>
          <w:lang w:eastAsia="zh-CN"/>
        </w:rPr>
      </w:pPr>
      <w:r>
        <w:rPr>
          <w:rFonts w:hint="eastAsia"/>
          <w:color w:val="auto"/>
          <w:highlight w:val="none"/>
          <w:lang w:eastAsia="zh-CN"/>
        </w:rPr>
        <w:t>（一）按磋商文件提供的全部货物（工程、服务）与相关服务的磋商总价详见《首轮报价表》。</w:t>
      </w:r>
    </w:p>
    <w:p>
      <w:pPr>
        <w:pStyle w:val="356"/>
        <w:rPr>
          <w:color w:val="auto"/>
          <w:highlight w:val="none"/>
          <w:lang w:eastAsia="zh-CN"/>
        </w:rPr>
      </w:pPr>
      <w:r>
        <w:rPr>
          <w:rFonts w:hint="eastAsia"/>
          <w:color w:val="auto"/>
          <w:highlight w:val="none"/>
          <w:lang w:eastAsia="zh-CN"/>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356"/>
        <w:rPr>
          <w:color w:val="auto"/>
          <w:highlight w:val="none"/>
          <w:lang w:eastAsia="zh-CN"/>
        </w:rPr>
      </w:pPr>
      <w:r>
        <w:rPr>
          <w:rFonts w:hint="eastAsia"/>
          <w:color w:val="auto"/>
          <w:highlight w:val="none"/>
          <w:lang w:eastAsia="zh-CN"/>
        </w:rPr>
        <w:t>（三）我方明白并同意，在规定的开启日之后，响应有效期之内撤回响应或成交后不按规定与采购人签订合同或不提交履约保证金, 则贵方将不予退还响应保证金。</w:t>
      </w:r>
    </w:p>
    <w:p>
      <w:pPr>
        <w:pStyle w:val="356"/>
        <w:rPr>
          <w:color w:val="auto"/>
          <w:highlight w:val="none"/>
          <w:lang w:eastAsia="zh-CN"/>
        </w:rPr>
      </w:pPr>
      <w:r>
        <w:rPr>
          <w:rFonts w:hint="eastAsia"/>
          <w:color w:val="auto"/>
          <w:highlight w:val="none"/>
          <w:lang w:eastAsia="zh-CN"/>
        </w:rPr>
        <w:t>（四）我方愿意向贵方提供任何与本项报价有关的数据、情况和技术资料。若贵方需要，我方愿意提供我方作出的一切承诺的证明材料。</w:t>
      </w:r>
    </w:p>
    <w:p>
      <w:pPr>
        <w:pStyle w:val="356"/>
        <w:rPr>
          <w:color w:val="auto"/>
          <w:highlight w:val="none"/>
          <w:lang w:eastAsia="zh-CN"/>
        </w:rPr>
      </w:pPr>
      <w:r>
        <w:rPr>
          <w:rFonts w:hint="eastAsia"/>
          <w:color w:val="auto"/>
          <w:highlight w:val="none"/>
          <w:lang w:eastAsia="zh-CN"/>
        </w:rPr>
        <w:t>（五）我方理解贵方不一定接受最低磋商价或任何贵方可能收到的响应。</w:t>
      </w:r>
    </w:p>
    <w:p>
      <w:pPr>
        <w:pStyle w:val="356"/>
        <w:rPr>
          <w:color w:val="auto"/>
          <w:highlight w:val="none"/>
          <w:lang w:eastAsia="zh-CN"/>
        </w:rPr>
      </w:pPr>
      <w:r>
        <w:rPr>
          <w:rFonts w:hint="eastAsia"/>
          <w:color w:val="auto"/>
          <w:highlight w:val="none"/>
          <w:lang w:eastAsia="zh-CN"/>
        </w:rPr>
        <w:t>（六）我方如果成交，将保证履行磋商文件及其澄清、修改文件（如果有）中的全部责任和义务，按质、按量、按期完成《采购需求》及《合同书》中的全部任务。</w:t>
      </w:r>
    </w:p>
    <w:p>
      <w:pPr>
        <w:pStyle w:val="356"/>
        <w:rPr>
          <w:color w:val="auto"/>
          <w:highlight w:val="none"/>
          <w:lang w:eastAsia="zh-CN"/>
        </w:rPr>
      </w:pPr>
      <w:r>
        <w:rPr>
          <w:rFonts w:hint="eastAsia"/>
          <w:color w:val="auto"/>
          <w:highlight w:val="none"/>
          <w:lang w:eastAsia="zh-CN"/>
        </w:rPr>
        <w:t>（七）我方作为法律、财务和运作上独立于采购人、采购代理机构的供应商，在此保证所提交的所有文件和全部说明是真实的和正确的。</w:t>
      </w:r>
    </w:p>
    <w:p>
      <w:pPr>
        <w:pStyle w:val="356"/>
        <w:rPr>
          <w:color w:val="auto"/>
          <w:highlight w:val="none"/>
          <w:lang w:eastAsia="zh-CN"/>
        </w:rPr>
      </w:pPr>
      <w:r>
        <w:rPr>
          <w:rFonts w:hint="eastAsia"/>
          <w:color w:val="auto"/>
          <w:highlight w:val="none"/>
          <w:lang w:eastAsia="zh-CN"/>
        </w:rPr>
        <w:t>（八）我方磋商报价已包含应向知识产权所有权人支付的所有相关税费，并保证采购人在中国使用我方提供的货物时，如有第三方提出侵犯其知识产权主张的，责任由我方承担。</w:t>
      </w:r>
    </w:p>
    <w:p>
      <w:pPr>
        <w:pStyle w:val="356"/>
        <w:rPr>
          <w:color w:val="auto"/>
          <w:highlight w:val="none"/>
          <w:lang w:eastAsia="zh-CN"/>
        </w:rPr>
      </w:pPr>
      <w:r>
        <w:rPr>
          <w:rFonts w:hint="eastAsia"/>
          <w:color w:val="auto"/>
          <w:highlight w:val="none"/>
          <w:lang w:eastAsia="zh-CN"/>
        </w:rPr>
        <w:t>（九）我方接受采购人委托向贵方支付代理服务费，项目总报价已包含代理服务费，如果被确定为成交供应商，承诺向贵方足额支付。</w:t>
      </w:r>
    </w:p>
    <w:p>
      <w:pPr>
        <w:pStyle w:val="356"/>
        <w:rPr>
          <w:color w:val="auto"/>
          <w:highlight w:val="none"/>
          <w:lang w:eastAsia="zh-CN"/>
        </w:rPr>
      </w:pPr>
      <w:r>
        <w:rPr>
          <w:rFonts w:hint="eastAsia"/>
          <w:color w:val="auto"/>
          <w:highlight w:val="none"/>
          <w:lang w:eastAsia="zh-CN"/>
        </w:rPr>
        <w:t>（十）我方与其他供应商不存在单位负责人为同一人或者存在直接控股、管理关系。</w:t>
      </w:r>
    </w:p>
    <w:p>
      <w:pPr>
        <w:pStyle w:val="356"/>
        <w:rPr>
          <w:color w:val="auto"/>
          <w:highlight w:val="none"/>
          <w:lang w:eastAsia="zh-CN"/>
        </w:rPr>
      </w:pPr>
      <w:r>
        <w:rPr>
          <w:rFonts w:hint="eastAsia"/>
          <w:color w:val="auto"/>
          <w:highlight w:val="none"/>
          <w:lang w:eastAsia="zh-CN"/>
        </w:rPr>
        <w:t>（十一）我方承诺未为本项目提供整体设计、规范编制或者项目管理、监理等服务。</w:t>
      </w:r>
    </w:p>
    <w:p>
      <w:pPr>
        <w:pStyle w:val="356"/>
        <w:rPr>
          <w:color w:val="auto"/>
          <w:highlight w:val="none"/>
          <w:lang w:eastAsia="zh-CN"/>
        </w:rPr>
      </w:pPr>
      <w:r>
        <w:rPr>
          <w:rFonts w:hint="eastAsia"/>
          <w:color w:val="auto"/>
          <w:highlight w:val="none"/>
          <w:lang w:eastAsia="zh-CN"/>
        </w:rPr>
        <w:t>（十二）我方未被列入法院失信被执行人名单中。</w:t>
      </w:r>
    </w:p>
    <w:p>
      <w:pPr>
        <w:pStyle w:val="356"/>
        <w:rPr>
          <w:color w:val="auto"/>
          <w:highlight w:val="none"/>
          <w:lang w:eastAsia="zh-CN"/>
        </w:rPr>
      </w:pPr>
      <w:r>
        <w:rPr>
          <w:rFonts w:hint="eastAsia"/>
          <w:color w:val="auto"/>
          <w:highlight w:val="none"/>
          <w:lang w:eastAsia="zh-CN"/>
        </w:rPr>
        <w:t>（十三）我方具备《中华人民共和国政府采购法》第二十二条规定的条件，承诺如下：</w:t>
      </w:r>
    </w:p>
    <w:p>
      <w:pPr>
        <w:pStyle w:val="356"/>
        <w:rPr>
          <w:color w:val="auto"/>
          <w:highlight w:val="none"/>
          <w:lang w:eastAsia="zh-CN"/>
        </w:rPr>
      </w:pPr>
      <w:r>
        <w:rPr>
          <w:rFonts w:hint="eastAsia"/>
          <w:color w:val="auto"/>
          <w:highlight w:val="none"/>
          <w:lang w:eastAsia="zh-CN"/>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356"/>
        <w:rPr>
          <w:color w:val="auto"/>
          <w:highlight w:val="none"/>
          <w:lang w:eastAsia="zh-CN"/>
        </w:rPr>
      </w:pPr>
      <w:r>
        <w:rPr>
          <w:rFonts w:hint="eastAsia"/>
          <w:color w:val="auto"/>
          <w:highlight w:val="none"/>
          <w:lang w:eastAsia="zh-CN"/>
        </w:rPr>
        <w:t>（2）我方符合法律、行政法规规定的其他条件。</w:t>
      </w:r>
    </w:p>
    <w:p>
      <w:pPr>
        <w:pStyle w:val="356"/>
        <w:rPr>
          <w:color w:val="auto"/>
          <w:highlight w:val="none"/>
          <w:lang w:eastAsia="zh-CN"/>
        </w:rPr>
      </w:pPr>
      <w:r>
        <w:rPr>
          <w:rFonts w:hint="eastAsia"/>
          <w:color w:val="auto"/>
          <w:highlight w:val="none"/>
          <w:lang w:eastAsia="zh-CN"/>
        </w:rPr>
        <w:t>以上内容如有虚假或与事实不符的，磋商小组可将我方做无效响应处理，我方愿意承担相应的法律责任。</w:t>
      </w:r>
    </w:p>
    <w:p>
      <w:pPr>
        <w:pStyle w:val="356"/>
        <w:rPr>
          <w:color w:val="auto"/>
          <w:highlight w:val="none"/>
          <w:lang w:eastAsia="zh-CN"/>
        </w:rPr>
      </w:pPr>
      <w:r>
        <w:rPr>
          <w:rFonts w:hint="eastAsia"/>
          <w:color w:val="auto"/>
          <w:highlight w:val="none"/>
          <w:lang w:eastAsia="zh-CN"/>
        </w:rPr>
        <w:t>（十四）我方对在本函及响应文件中所作的所有承诺承担法律责任。</w:t>
      </w:r>
    </w:p>
    <w:p>
      <w:pPr>
        <w:pStyle w:val="356"/>
        <w:rPr>
          <w:color w:val="auto"/>
          <w:highlight w:val="none"/>
          <w:lang w:eastAsia="zh-CN"/>
        </w:rPr>
      </w:pPr>
      <w:r>
        <w:rPr>
          <w:rFonts w:hint="eastAsia"/>
          <w:color w:val="auto"/>
          <w:highlight w:val="none"/>
          <w:lang w:eastAsia="zh-CN"/>
        </w:rPr>
        <w:t>（十五）所有与本磋商有关的函件请发往下列地址：</w:t>
      </w:r>
    </w:p>
    <w:p>
      <w:pPr>
        <w:pStyle w:val="356"/>
        <w:rPr>
          <w:color w:val="auto"/>
          <w:highlight w:val="none"/>
          <w:lang w:eastAsia="zh-CN"/>
        </w:rPr>
      </w:pPr>
      <w:r>
        <w:rPr>
          <w:rFonts w:hint="eastAsia"/>
          <w:color w:val="auto"/>
          <w:highlight w:val="none"/>
          <w:lang w:eastAsia="zh-CN"/>
        </w:rPr>
        <w:t xml:space="preserve">地 </w:t>
      </w:r>
      <w:r>
        <w:rPr>
          <w:color w:val="auto"/>
          <w:highlight w:val="none"/>
          <w:lang w:eastAsia="zh-CN"/>
        </w:rPr>
        <w:t xml:space="preserve">   址：</w:t>
      </w:r>
      <w:r>
        <w:rPr>
          <w:color w:val="auto"/>
          <w:highlight w:val="none"/>
          <w:u w:val="single"/>
          <w:lang w:eastAsia="zh-CN"/>
        </w:rPr>
        <w:t xml:space="preserve">               </w:t>
      </w:r>
    </w:p>
    <w:p>
      <w:pPr>
        <w:pStyle w:val="356"/>
        <w:rPr>
          <w:color w:val="auto"/>
          <w:highlight w:val="none"/>
          <w:lang w:eastAsia="zh-CN"/>
        </w:rPr>
      </w:pPr>
      <w:r>
        <w:rPr>
          <w:color w:val="auto"/>
          <w:highlight w:val="none"/>
          <w:lang w:eastAsia="zh-CN"/>
        </w:rPr>
        <w:t>电</w:t>
      </w:r>
      <w:r>
        <w:rPr>
          <w:rFonts w:hint="eastAsia"/>
          <w:color w:val="auto"/>
          <w:highlight w:val="none"/>
          <w:lang w:eastAsia="zh-CN"/>
        </w:rPr>
        <w:t xml:space="preserve"> </w:t>
      </w:r>
      <w:r>
        <w:rPr>
          <w:color w:val="auto"/>
          <w:highlight w:val="none"/>
          <w:lang w:eastAsia="zh-CN"/>
        </w:rPr>
        <w:t xml:space="preserve">   话：</w:t>
      </w:r>
      <w:r>
        <w:rPr>
          <w:color w:val="auto"/>
          <w:highlight w:val="none"/>
          <w:u w:val="single"/>
          <w:lang w:eastAsia="zh-CN"/>
        </w:rPr>
        <w:t xml:space="preserve">               </w:t>
      </w:r>
    </w:p>
    <w:p>
      <w:pPr>
        <w:pStyle w:val="356"/>
        <w:rPr>
          <w:color w:val="auto"/>
          <w:highlight w:val="none"/>
          <w:lang w:eastAsia="zh-CN"/>
        </w:rPr>
      </w:pPr>
      <w:r>
        <w:rPr>
          <w:rFonts w:hint="eastAsia"/>
          <w:color w:val="auto"/>
          <w:highlight w:val="none"/>
          <w:lang w:eastAsia="zh-CN"/>
        </w:rPr>
        <w:t>电子邮箱</w:t>
      </w:r>
      <w:r>
        <w:rPr>
          <w:color w:val="auto"/>
          <w:highlight w:val="none"/>
          <w:lang w:eastAsia="zh-CN"/>
        </w:rPr>
        <w:t>：</w:t>
      </w:r>
      <w:r>
        <w:rPr>
          <w:color w:val="auto"/>
          <w:highlight w:val="none"/>
          <w:u w:val="single"/>
          <w:lang w:eastAsia="zh-CN"/>
        </w:rPr>
        <w:t xml:space="preserve">               </w:t>
      </w:r>
    </w:p>
    <w:p>
      <w:pPr>
        <w:pStyle w:val="356"/>
        <w:rPr>
          <w:color w:val="auto"/>
          <w:highlight w:val="none"/>
          <w:u w:val="single"/>
          <w:lang w:eastAsia="zh-CN"/>
        </w:rPr>
      </w:pPr>
      <w:r>
        <w:rPr>
          <w:rFonts w:hint="eastAsia"/>
          <w:color w:val="auto"/>
          <w:highlight w:val="none"/>
          <w:lang w:eastAsia="zh-CN"/>
        </w:rPr>
        <w:t>代表姓名：</w:t>
      </w:r>
      <w:r>
        <w:rPr>
          <w:color w:val="auto"/>
          <w:highlight w:val="none"/>
          <w:u w:val="single"/>
          <w:lang w:eastAsia="zh-CN"/>
        </w:rPr>
        <w:t xml:space="preserve">               </w:t>
      </w:r>
    </w:p>
    <w:p>
      <w:pPr>
        <w:pStyle w:val="356"/>
        <w:rPr>
          <w:color w:val="auto"/>
          <w:highlight w:val="none"/>
          <w:u w:val="single"/>
          <w:lang w:eastAsia="zh-CN"/>
        </w:rPr>
      </w:pPr>
      <w:r>
        <w:rPr>
          <w:color w:val="auto"/>
          <w:highlight w:val="none"/>
          <w:lang w:eastAsia="zh-CN"/>
        </w:rPr>
        <w:t>职    务：</w:t>
      </w:r>
      <w:r>
        <w:rPr>
          <w:color w:val="auto"/>
          <w:highlight w:val="none"/>
          <w:u w:val="single"/>
          <w:lang w:eastAsia="zh-CN"/>
        </w:rPr>
        <w:t xml:space="preserve">               </w:t>
      </w:r>
    </w:p>
    <w:p>
      <w:pPr>
        <w:pStyle w:val="356"/>
        <w:rPr>
          <w:color w:val="auto"/>
          <w:highlight w:val="none"/>
          <w:lang w:eastAsia="zh-CN"/>
        </w:rPr>
      </w:pPr>
    </w:p>
    <w:p>
      <w:pPr>
        <w:pStyle w:val="356"/>
        <w:spacing w:line="480" w:lineRule="auto"/>
        <w:ind w:firstLine="0" w:firstLineChars="0"/>
        <w:jc w:val="right"/>
        <w:rPr>
          <w:color w:val="auto"/>
          <w:highlight w:val="none"/>
          <w:lang w:eastAsia="zh-CN"/>
        </w:rPr>
      </w:pPr>
      <w:bookmarkStart w:id="116" w:name="_Hlk112010154"/>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pStyle w:val="356"/>
        <w:spacing w:line="480" w:lineRule="auto"/>
        <w:ind w:firstLine="4960" w:firstLineChars="2067"/>
        <w:jc w:val="right"/>
        <w:rPr>
          <w:color w:val="auto"/>
          <w:highlight w:val="none"/>
        </w:rPr>
      </w:pPr>
      <w:r>
        <w:rPr>
          <w:rFonts w:hint="eastAsia"/>
          <w:color w:val="auto"/>
          <w:highlight w:val="none"/>
        </w:rPr>
        <w:t>日期：</w:t>
      </w:r>
      <w:r>
        <w:rPr>
          <w:color w:val="auto"/>
          <w:highlight w:val="none"/>
          <w:u w:val="single"/>
        </w:rPr>
        <w:t xml:space="preserve">     </w:t>
      </w:r>
      <w:r>
        <w:rPr>
          <w:color w:val="auto"/>
          <w:highlight w:val="none"/>
        </w:rPr>
        <w:t>年</w:t>
      </w:r>
      <w:r>
        <w:rPr>
          <w:color w:val="auto"/>
          <w:highlight w:val="none"/>
          <w:u w:val="single"/>
        </w:rPr>
        <w:t xml:space="preserve">     </w:t>
      </w:r>
      <w:r>
        <w:rPr>
          <w:color w:val="auto"/>
          <w:highlight w:val="none"/>
        </w:rPr>
        <w:t>月</w:t>
      </w:r>
      <w:r>
        <w:rPr>
          <w:color w:val="auto"/>
          <w:highlight w:val="none"/>
          <w:u w:val="single"/>
        </w:rPr>
        <w:t xml:space="preserve">     </w:t>
      </w:r>
      <w:r>
        <w:rPr>
          <w:color w:val="auto"/>
          <w:highlight w:val="none"/>
        </w:rPr>
        <w:t>日</w:t>
      </w:r>
      <w:bookmarkEnd w:id="116"/>
      <w:bookmarkStart w:id="117" w:name="_Toc425161128"/>
      <w:bookmarkStart w:id="118" w:name="_Toc462677251"/>
      <w:bookmarkStart w:id="119" w:name="_Toc259090997"/>
      <w:bookmarkStart w:id="120" w:name="_Toc462677250"/>
      <w:bookmarkStart w:id="121" w:name="_Toc6322298"/>
      <w:bookmarkStart w:id="122" w:name="_Toc276645581"/>
      <w:bookmarkStart w:id="123" w:name="_Toc259090984"/>
      <w:bookmarkStart w:id="124" w:name="_Toc67046896"/>
      <w:bookmarkStart w:id="125" w:name="_Toc462677236"/>
      <w:r>
        <w:rPr>
          <w:color w:val="auto"/>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126" w:name="_Toc104040703"/>
      <w:r>
        <w:rPr>
          <w:rFonts w:hint="eastAsia" w:ascii="宋体" w:hAnsi="宋体"/>
          <w:color w:val="auto"/>
          <w:szCs w:val="24"/>
          <w:highlight w:val="none"/>
        </w:rPr>
        <w:t>首轮报价表</w:t>
      </w:r>
      <w:bookmarkEnd w:id="126"/>
    </w:p>
    <w:p>
      <w:pPr>
        <w:jc w:val="center"/>
        <w:rPr>
          <w:rFonts w:ascii="宋体" w:hAnsi="宋体"/>
          <w:b/>
          <w:bCs/>
          <w:color w:val="auto"/>
          <w:sz w:val="28"/>
          <w:szCs w:val="28"/>
          <w:highlight w:val="none"/>
        </w:rPr>
      </w:pPr>
      <w:bookmarkStart w:id="127" w:name="_Hlk112010167"/>
      <w:r>
        <w:rPr>
          <w:rFonts w:hint="eastAsia" w:ascii="宋体" w:hAnsi="宋体"/>
          <w:b/>
          <w:bCs/>
          <w:color w:val="auto"/>
          <w:sz w:val="28"/>
          <w:szCs w:val="28"/>
          <w:highlight w:val="none"/>
        </w:rPr>
        <w:t>首轮报价表</w:t>
      </w:r>
    </w:p>
    <w:p>
      <w:pPr>
        <w:rPr>
          <w:rFonts w:ascii="宋体" w:hAnsi="宋体"/>
          <w:bCs/>
          <w:color w:val="auto"/>
          <w:sz w:val="24"/>
          <w:highlight w:val="none"/>
        </w:rPr>
      </w:pPr>
      <w:r>
        <w:rPr>
          <w:rFonts w:hint="eastAsia" w:ascii="宋体" w:hAnsi="宋体"/>
          <w:bCs/>
          <w:color w:val="auto"/>
          <w:sz w:val="24"/>
          <w:highlight w:val="none"/>
        </w:rPr>
        <w:t>项目名称：</w:t>
      </w:r>
      <w:r>
        <w:rPr>
          <w:rFonts w:hint="eastAsia" w:ascii="宋体" w:hAnsi="宋体"/>
          <w:bCs/>
          <w:color w:val="auto"/>
          <w:sz w:val="24"/>
          <w:highlight w:val="none"/>
          <w:u w:val="single"/>
        </w:rPr>
        <w:t xml:space="preserve">          </w:t>
      </w:r>
      <w:r>
        <w:rPr>
          <w:rFonts w:ascii="宋体" w:hAnsi="宋体"/>
          <w:bCs/>
          <w:color w:val="auto"/>
          <w:sz w:val="24"/>
          <w:highlight w:val="none"/>
          <w:u w:val="single"/>
        </w:rPr>
        <w:t xml:space="preserve">  </w:t>
      </w:r>
      <w:r>
        <w:rPr>
          <w:rFonts w:hint="eastAsia" w:ascii="宋体" w:hAnsi="宋体"/>
          <w:bCs/>
          <w:color w:val="auto"/>
          <w:sz w:val="24"/>
          <w:highlight w:val="none"/>
          <w:u w:val="single"/>
        </w:rPr>
        <w:t xml:space="preserve">     </w:t>
      </w:r>
      <w:r>
        <w:rPr>
          <w:rFonts w:hint="eastAsia" w:ascii="宋体" w:hAnsi="宋体"/>
          <w:bCs/>
          <w:color w:val="auto"/>
          <w:sz w:val="24"/>
          <w:highlight w:val="none"/>
        </w:rPr>
        <w:t xml:space="preserve">         </w:t>
      </w:r>
    </w:p>
    <w:p>
      <w:pPr>
        <w:rPr>
          <w:rFonts w:ascii="宋体" w:hAnsi="宋体"/>
          <w:color w:val="auto"/>
          <w:sz w:val="24"/>
          <w:highlight w:val="none"/>
        </w:rPr>
      </w:pPr>
      <w:r>
        <w:rPr>
          <w:rFonts w:hint="eastAsia" w:ascii="宋体" w:hAnsi="宋体"/>
          <w:bCs/>
          <w:color w:val="auto"/>
          <w:sz w:val="24"/>
          <w:highlight w:val="none"/>
        </w:rPr>
        <w:t>项目编号：</w:t>
      </w:r>
      <w:r>
        <w:rPr>
          <w:rFonts w:hint="eastAsia" w:ascii="宋体" w:hAnsi="宋体"/>
          <w:bCs/>
          <w:color w:val="auto"/>
          <w:sz w:val="24"/>
          <w:highlight w:val="none"/>
          <w:u w:val="single"/>
        </w:rPr>
        <w:t xml:space="preserve">           </w:t>
      </w:r>
      <w:r>
        <w:rPr>
          <w:rFonts w:hint="eastAsia" w:ascii="宋体" w:hAnsi="宋体"/>
          <w:b/>
          <w:color w:val="auto"/>
          <w:sz w:val="24"/>
          <w:highlight w:val="none"/>
          <w:u w:val="single"/>
        </w:rPr>
        <w:t xml:space="preserve">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0"/>
        <w:gridCol w:w="230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640" w:type="pct"/>
            <w:vAlign w:val="center"/>
          </w:tcPr>
          <w:p>
            <w:pPr>
              <w:spacing w:line="240" w:lineRule="auto"/>
              <w:jc w:val="center"/>
              <w:rPr>
                <w:rFonts w:ascii="宋体" w:hAnsi="宋体"/>
                <w:b/>
                <w:bCs/>
                <w:color w:val="auto"/>
                <w:sz w:val="24"/>
                <w:highlight w:val="none"/>
              </w:rPr>
            </w:pPr>
            <w:r>
              <w:rPr>
                <w:rFonts w:hint="eastAsia" w:ascii="宋体" w:hAnsi="宋体"/>
                <w:b/>
                <w:bCs/>
                <w:color w:val="auto"/>
                <w:sz w:val="24"/>
                <w:highlight w:val="none"/>
              </w:rPr>
              <w:t>响应报价（%）</w:t>
            </w:r>
          </w:p>
        </w:tc>
        <w:tc>
          <w:tcPr>
            <w:tcW w:w="1247" w:type="pct"/>
            <w:vAlign w:val="center"/>
          </w:tcPr>
          <w:p>
            <w:pPr>
              <w:spacing w:line="240" w:lineRule="auto"/>
              <w:jc w:val="center"/>
              <w:rPr>
                <w:rFonts w:ascii="宋体" w:hAnsi="宋体"/>
                <w:b/>
                <w:bCs/>
                <w:color w:val="auto"/>
                <w:sz w:val="24"/>
                <w:highlight w:val="none"/>
              </w:rPr>
            </w:pPr>
            <w:r>
              <w:rPr>
                <w:rFonts w:hint="eastAsia" w:ascii="宋体" w:hAnsi="宋体"/>
                <w:b/>
                <w:bCs/>
                <w:color w:val="auto"/>
                <w:sz w:val="24"/>
                <w:highlight w:val="none"/>
              </w:rPr>
              <w:t>服务期</w:t>
            </w:r>
          </w:p>
        </w:tc>
        <w:tc>
          <w:tcPr>
            <w:tcW w:w="1113" w:type="pct"/>
            <w:vAlign w:val="center"/>
          </w:tcPr>
          <w:p>
            <w:pPr>
              <w:spacing w:line="240" w:lineRule="auto"/>
              <w:jc w:val="center"/>
              <w:rPr>
                <w:rFonts w:ascii="宋体" w:hAnsi="宋体"/>
                <w:b/>
                <w:bCs/>
                <w:color w:val="auto"/>
                <w:sz w:val="24"/>
                <w:highlight w:val="none"/>
              </w:rPr>
            </w:pPr>
            <w:r>
              <w:rPr>
                <w:rFonts w:hint="eastAsia" w:ascii="宋体" w:hAnsi="宋体"/>
                <w:b/>
                <w:bCs/>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2640" w:type="pct"/>
            <w:vAlign w:val="center"/>
          </w:tcPr>
          <w:p>
            <w:pPr>
              <w:keepLines/>
              <w:rPr>
                <w:rFonts w:ascii="宋体" w:hAnsi="宋体"/>
                <w:color w:val="auto"/>
                <w:kern w:val="28"/>
                <w:sz w:val="24"/>
                <w:highlight w:val="none"/>
                <w:u w:val="single"/>
              </w:rPr>
            </w:pPr>
            <w:r>
              <w:rPr>
                <w:rFonts w:hint="eastAsia" w:ascii="宋体" w:hAnsi="宋体"/>
                <w:color w:val="auto"/>
                <w:kern w:val="28"/>
                <w:sz w:val="24"/>
                <w:highlight w:val="none"/>
              </w:rPr>
              <w:t>下浮率：</w:t>
            </w:r>
            <w:r>
              <w:rPr>
                <w:rFonts w:hint="eastAsia" w:ascii="宋体" w:hAnsi="宋体"/>
                <w:color w:val="auto"/>
                <w:kern w:val="28"/>
                <w:sz w:val="24"/>
                <w:highlight w:val="none"/>
                <w:u w:val="single"/>
              </w:rPr>
              <w:t xml:space="preserve">             %</w:t>
            </w:r>
          </w:p>
        </w:tc>
        <w:tc>
          <w:tcPr>
            <w:tcW w:w="1247" w:type="pct"/>
            <w:vAlign w:val="center"/>
          </w:tcPr>
          <w:p>
            <w:pPr>
              <w:jc w:val="center"/>
              <w:rPr>
                <w:rFonts w:ascii="宋体" w:hAnsi="宋体"/>
                <w:color w:val="auto"/>
                <w:sz w:val="24"/>
                <w:highlight w:val="none"/>
              </w:rPr>
            </w:pPr>
            <w:r>
              <w:rPr>
                <w:rFonts w:hint="eastAsia" w:ascii="宋体" w:hAnsi="宋体"/>
                <w:color w:val="auto"/>
                <w:sz w:val="24"/>
                <w:highlight w:val="none"/>
              </w:rPr>
              <w:t>按照磋商文件要求执行</w:t>
            </w:r>
          </w:p>
        </w:tc>
        <w:tc>
          <w:tcPr>
            <w:tcW w:w="1113" w:type="pct"/>
            <w:vAlign w:val="center"/>
          </w:tcPr>
          <w:p>
            <w:pPr>
              <w:jc w:val="center"/>
              <w:rPr>
                <w:rFonts w:ascii="宋体" w:hAnsi="宋体"/>
                <w:color w:val="auto"/>
                <w:sz w:val="24"/>
                <w:highlight w:val="none"/>
              </w:rPr>
            </w:pPr>
          </w:p>
        </w:tc>
      </w:tr>
    </w:tbl>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注：</w:t>
      </w:r>
    </w:p>
    <w:p>
      <w:pPr>
        <w:rPr>
          <w:rFonts w:ascii="宋体" w:hAnsi="宋体"/>
          <w:color w:val="auto"/>
          <w:sz w:val="24"/>
          <w:highlight w:val="none"/>
        </w:rPr>
      </w:pPr>
      <w:bookmarkStart w:id="128" w:name="_Hlk67046034"/>
      <w:r>
        <w:rPr>
          <w:rFonts w:hint="eastAsia" w:ascii="宋体" w:hAnsi="宋体"/>
          <w:color w:val="auto"/>
          <w:sz w:val="24"/>
          <w:highlight w:val="none"/>
        </w:rPr>
        <w:t>1.响应报价的小数点后保留两位有效数。</w:t>
      </w:r>
    </w:p>
    <w:bookmarkEnd w:id="128"/>
    <w:p>
      <w:pPr>
        <w:adjustRightInd w:val="0"/>
        <w:snapToGrid w:val="0"/>
        <w:spacing w:line="300" w:lineRule="auto"/>
        <w:rPr>
          <w:rFonts w:ascii="宋体" w:hAnsi="宋体"/>
          <w:color w:val="auto"/>
          <w:sz w:val="24"/>
          <w:highlight w:val="none"/>
        </w:rPr>
      </w:pPr>
    </w:p>
    <w:bookmarkEnd w:id="117"/>
    <w:bookmarkEnd w:id="118"/>
    <w:bookmarkEnd w:id="119"/>
    <w:bookmarkEnd w:id="120"/>
    <w:p>
      <w:pPr>
        <w:pStyle w:val="2"/>
        <w:rPr>
          <w:rFonts w:ascii="宋体" w:hAnsi="宋体"/>
          <w:color w:val="auto"/>
          <w:sz w:val="24"/>
          <w:highlight w:val="none"/>
        </w:rPr>
      </w:pPr>
    </w:p>
    <w:p>
      <w:pPr>
        <w:pStyle w:val="356"/>
        <w:spacing w:line="480" w:lineRule="auto"/>
        <w:ind w:firstLine="0" w:firstLineChars="0"/>
        <w:jc w:val="right"/>
        <w:rPr>
          <w:color w:val="auto"/>
          <w:highlight w:val="none"/>
          <w:lang w:eastAsia="zh-CN"/>
        </w:rPr>
      </w:pPr>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jc w:val="right"/>
        <w:rPr>
          <w:rFonts w:ascii="宋体" w:hAnsi="宋体"/>
          <w:color w:val="auto"/>
          <w:sz w:val="24"/>
          <w:highlight w:val="none"/>
        </w:rPr>
      </w:pPr>
      <w:r>
        <w:rPr>
          <w:rFonts w:hint="eastAsia" w:ascii="宋体" w:hAnsi="宋体"/>
          <w:color w:val="auto"/>
          <w:highlight w:val="none"/>
        </w:rPr>
        <w:t>日期：</w:t>
      </w:r>
      <w:r>
        <w:rPr>
          <w:rFonts w:ascii="宋体" w:hAnsi="宋体"/>
          <w:color w:val="auto"/>
          <w:highlight w:val="none"/>
          <w:u w:val="single"/>
        </w:rPr>
        <w:t xml:space="preserve">     </w:t>
      </w:r>
      <w:r>
        <w:rPr>
          <w:rFonts w:ascii="宋体" w:hAnsi="宋体"/>
          <w:color w:val="auto"/>
          <w:highlight w:val="none"/>
        </w:rPr>
        <w:t>年</w:t>
      </w:r>
      <w:r>
        <w:rPr>
          <w:rFonts w:ascii="宋体" w:hAnsi="宋体"/>
          <w:color w:val="auto"/>
          <w:highlight w:val="none"/>
          <w:u w:val="single"/>
        </w:rPr>
        <w:t xml:space="preserve">     </w:t>
      </w:r>
      <w:r>
        <w:rPr>
          <w:rFonts w:ascii="宋体" w:hAnsi="宋体"/>
          <w:color w:val="auto"/>
          <w:highlight w:val="none"/>
        </w:rPr>
        <w:t>月</w:t>
      </w:r>
      <w:r>
        <w:rPr>
          <w:rFonts w:ascii="宋体" w:hAnsi="宋体"/>
          <w:color w:val="auto"/>
          <w:highlight w:val="none"/>
          <w:u w:val="single"/>
        </w:rPr>
        <w:t xml:space="preserve">     </w:t>
      </w:r>
      <w:r>
        <w:rPr>
          <w:rFonts w:ascii="宋体" w:hAnsi="宋体"/>
          <w:color w:val="auto"/>
          <w:highlight w:val="none"/>
        </w:rPr>
        <w:t>日</w:t>
      </w:r>
    </w:p>
    <w:bookmarkEnd w:id="127"/>
    <w:p>
      <w:pPr>
        <w:pStyle w:val="2"/>
        <w:rPr>
          <w:color w:val="auto"/>
          <w:highlight w:val="none"/>
        </w:rPr>
      </w:pPr>
    </w:p>
    <w:p>
      <w:pPr>
        <w:rPr>
          <w:color w:val="auto"/>
          <w:highlight w:val="none"/>
        </w:rPr>
      </w:pPr>
      <w:r>
        <w:rPr>
          <w:color w:val="auto"/>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r>
        <w:rPr>
          <w:rFonts w:hint="eastAsia" w:ascii="宋体" w:hAnsi="宋体"/>
          <w:color w:val="auto"/>
          <w:szCs w:val="24"/>
          <w:highlight w:val="none"/>
        </w:rPr>
        <w:t>首轮报价明细表</w:t>
      </w:r>
    </w:p>
    <w:p>
      <w:pPr>
        <w:rPr>
          <w:color w:val="auto"/>
          <w:highlight w:val="none"/>
        </w:rPr>
      </w:pPr>
    </w:p>
    <w:p>
      <w:pPr>
        <w:pStyle w:val="356"/>
        <w:ind w:firstLine="420"/>
        <w:rPr>
          <w:color w:val="auto"/>
          <w:sz w:val="21"/>
          <w:szCs w:val="21"/>
          <w:highlight w:val="none"/>
          <w:lang w:eastAsia="zh-CN"/>
        </w:rPr>
      </w:pPr>
      <w:r>
        <w:rPr>
          <w:rFonts w:hint="eastAsia"/>
          <w:color w:val="auto"/>
          <w:sz w:val="21"/>
          <w:szCs w:val="21"/>
          <w:highlight w:val="none"/>
          <w:lang w:eastAsia="zh-CN"/>
        </w:rPr>
        <w:t>项目编号：</w:t>
      </w:r>
      <w:r>
        <w:rPr>
          <w:color w:val="auto"/>
          <w:sz w:val="21"/>
          <w:szCs w:val="21"/>
          <w:highlight w:val="none"/>
          <w:lang w:eastAsia="zh-CN"/>
        </w:rPr>
        <w:t xml:space="preserve"> </w:t>
      </w:r>
    </w:p>
    <w:p>
      <w:pPr>
        <w:pStyle w:val="356"/>
        <w:ind w:firstLine="420"/>
        <w:rPr>
          <w:color w:val="auto"/>
          <w:sz w:val="21"/>
          <w:szCs w:val="21"/>
          <w:highlight w:val="none"/>
          <w:lang w:eastAsia="zh-CN"/>
        </w:rPr>
      </w:pPr>
      <w:r>
        <w:rPr>
          <w:rFonts w:hint="eastAsia"/>
          <w:color w:val="auto"/>
          <w:sz w:val="21"/>
          <w:szCs w:val="21"/>
          <w:highlight w:val="none"/>
          <w:lang w:eastAsia="zh-CN"/>
        </w:rPr>
        <w:t>项目名称：</w:t>
      </w:r>
    </w:p>
    <w:p>
      <w:pPr>
        <w:pStyle w:val="356"/>
        <w:ind w:firstLine="0" w:firstLineChars="0"/>
        <w:jc w:val="right"/>
        <w:rPr>
          <w:color w:val="auto"/>
          <w:highlight w:val="none"/>
          <w:lang w:eastAsia="zh-CN"/>
        </w:rPr>
      </w:pPr>
      <w:r>
        <w:rPr>
          <w:rFonts w:hint="eastAsia"/>
          <w:color w:val="auto"/>
          <w:highlight w:val="none"/>
          <w:lang w:eastAsia="zh-CN"/>
        </w:rPr>
        <w:t>货币及单位：人民币</w:t>
      </w:r>
      <w:r>
        <w:rPr>
          <w:color w:val="auto"/>
          <w:highlight w:val="none"/>
          <w:lang w:eastAsia="zh-CN"/>
        </w:rPr>
        <w:t>/元</w:t>
      </w:r>
    </w:p>
    <w:p>
      <w:pPr>
        <w:rPr>
          <w:color w:val="auto"/>
          <w:szCs w:val="21"/>
          <w:highlight w:val="none"/>
        </w:rPr>
      </w:pPr>
    </w:p>
    <w:p>
      <w:pPr>
        <w:pStyle w:val="45"/>
        <w:rPr>
          <w:color w:val="auto"/>
          <w:highlight w:val="none"/>
        </w:rPr>
      </w:pP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29"/>
        <w:gridCol w:w="1219"/>
        <w:gridCol w:w="1219"/>
        <w:gridCol w:w="1219"/>
        <w:gridCol w:w="1219"/>
        <w:gridCol w:w="1219"/>
        <w:gridCol w:w="740"/>
        <w:gridCol w:w="741"/>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序号</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服务名称</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服务范围</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服务要求</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服务期限</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服务标准</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单价</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数量</w:t>
            </w:r>
          </w:p>
        </w:tc>
        <w:tc>
          <w:tcPr>
            <w:tcW w:w="407"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407"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r>
    </w:tbl>
    <w:p>
      <w:pPr>
        <w:pStyle w:val="356"/>
        <w:ind w:firstLine="0" w:firstLineChars="0"/>
        <w:rPr>
          <w:color w:val="auto"/>
          <w:sz w:val="21"/>
          <w:szCs w:val="21"/>
          <w:highlight w:val="none"/>
        </w:rPr>
      </w:pPr>
    </w:p>
    <w:p>
      <w:pPr>
        <w:pStyle w:val="356"/>
        <w:ind w:firstLine="0" w:firstLineChars="0"/>
        <w:rPr>
          <w:color w:val="auto"/>
          <w:sz w:val="21"/>
          <w:szCs w:val="21"/>
          <w:highlight w:val="none"/>
        </w:rPr>
      </w:pPr>
    </w:p>
    <w:p>
      <w:pPr>
        <w:pStyle w:val="356"/>
        <w:spacing w:line="480" w:lineRule="auto"/>
        <w:ind w:firstLine="0" w:firstLineChars="0"/>
        <w:jc w:val="right"/>
        <w:rPr>
          <w:color w:val="auto"/>
          <w:highlight w:val="none"/>
          <w:lang w:eastAsia="zh-CN"/>
        </w:rPr>
      </w:pPr>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jc w:val="right"/>
        <w:rPr>
          <w:rFonts w:ascii="宋体" w:hAnsi="宋体"/>
          <w:color w:val="auto"/>
          <w:sz w:val="24"/>
          <w:highlight w:val="none"/>
        </w:rPr>
      </w:pPr>
      <w:r>
        <w:rPr>
          <w:rFonts w:hint="eastAsia" w:ascii="宋体" w:hAnsi="宋体"/>
          <w:color w:val="auto"/>
          <w:highlight w:val="none"/>
        </w:rPr>
        <w:t>日期：</w:t>
      </w:r>
      <w:r>
        <w:rPr>
          <w:rFonts w:ascii="宋体" w:hAnsi="宋体"/>
          <w:color w:val="auto"/>
          <w:highlight w:val="none"/>
          <w:u w:val="single"/>
        </w:rPr>
        <w:t xml:space="preserve">     </w:t>
      </w:r>
      <w:r>
        <w:rPr>
          <w:rFonts w:ascii="宋体" w:hAnsi="宋体"/>
          <w:color w:val="auto"/>
          <w:highlight w:val="none"/>
        </w:rPr>
        <w:t>年</w:t>
      </w:r>
      <w:r>
        <w:rPr>
          <w:rFonts w:ascii="宋体" w:hAnsi="宋体"/>
          <w:color w:val="auto"/>
          <w:highlight w:val="none"/>
          <w:u w:val="single"/>
        </w:rPr>
        <w:t xml:space="preserve">     </w:t>
      </w:r>
      <w:r>
        <w:rPr>
          <w:rFonts w:ascii="宋体" w:hAnsi="宋体"/>
          <w:color w:val="auto"/>
          <w:highlight w:val="none"/>
        </w:rPr>
        <w:t>月</w:t>
      </w:r>
      <w:r>
        <w:rPr>
          <w:rFonts w:ascii="宋体" w:hAnsi="宋体"/>
          <w:color w:val="auto"/>
          <w:highlight w:val="none"/>
          <w:u w:val="single"/>
        </w:rPr>
        <w:t xml:space="preserve">     </w:t>
      </w:r>
      <w:r>
        <w:rPr>
          <w:rFonts w:ascii="宋体" w:hAnsi="宋体"/>
          <w:color w:val="auto"/>
          <w:highlight w:val="none"/>
        </w:rPr>
        <w:t>日</w:t>
      </w:r>
    </w:p>
    <w:p>
      <w:pPr>
        <w:rPr>
          <w:color w:val="auto"/>
          <w:highlight w:val="none"/>
        </w:rPr>
      </w:pPr>
    </w:p>
    <w:p>
      <w:pPr>
        <w:rPr>
          <w:color w:val="auto"/>
          <w:sz w:val="28"/>
          <w:highlight w:val="none"/>
        </w:rPr>
      </w:pPr>
      <w:r>
        <w:rPr>
          <w:color w:val="auto"/>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129" w:name="_Toc104040704"/>
      <w:r>
        <w:rPr>
          <w:rFonts w:hint="eastAsia" w:ascii="宋体" w:hAnsi="宋体"/>
          <w:color w:val="auto"/>
          <w:szCs w:val="24"/>
          <w:highlight w:val="none"/>
        </w:rPr>
        <w:t>政策适用性说明</w:t>
      </w:r>
      <w:bookmarkEnd w:id="129"/>
    </w:p>
    <w:p>
      <w:pPr>
        <w:rPr>
          <w:rFonts w:ascii="宋体" w:hAnsi="宋体" w:cs="宋体"/>
          <w:i/>
          <w:iCs/>
          <w:color w:val="auto"/>
          <w:szCs w:val="21"/>
          <w:highlight w:val="none"/>
        </w:rPr>
      </w:pPr>
      <w:r>
        <w:rPr>
          <w:rFonts w:hint="eastAsia" w:ascii="宋体" w:hAnsi="宋体" w:cs="宋体"/>
          <w:i/>
          <w:iCs/>
          <w:color w:val="auto"/>
          <w:szCs w:val="21"/>
          <w:highlight w:val="none"/>
        </w:rPr>
        <w:t>（以下格式文件由供应商根据需要选用）</w:t>
      </w:r>
    </w:p>
    <w:p>
      <w:pPr>
        <w:jc w:val="center"/>
        <w:rPr>
          <w:rFonts w:ascii="宋体" w:hAnsi="宋体"/>
          <w:b/>
          <w:bCs/>
          <w:color w:val="auto"/>
          <w:sz w:val="28"/>
          <w:szCs w:val="28"/>
          <w:highlight w:val="none"/>
        </w:rPr>
      </w:pPr>
      <w:r>
        <w:rPr>
          <w:rFonts w:hint="eastAsia" w:ascii="宋体" w:hAnsi="宋体"/>
          <w:b/>
          <w:bCs/>
          <w:color w:val="auto"/>
          <w:sz w:val="28"/>
          <w:szCs w:val="28"/>
          <w:highlight w:val="none"/>
        </w:rPr>
        <w:t>政策适用性说明</w:t>
      </w:r>
    </w:p>
    <w:p>
      <w:pPr>
        <w:pStyle w:val="2"/>
        <w:ind w:firstLine="480" w:firstLineChars="200"/>
        <w:rPr>
          <w:rFonts w:ascii="宋体" w:hAnsi="宋体"/>
          <w:color w:val="auto"/>
          <w:sz w:val="24"/>
          <w:highlight w:val="none"/>
        </w:rPr>
      </w:pPr>
      <w:r>
        <w:rPr>
          <w:rFonts w:hint="eastAsia" w:ascii="宋体" w:hAnsi="宋体"/>
          <w:color w:val="auto"/>
          <w:sz w:val="24"/>
          <w:highlight w:val="none"/>
        </w:rPr>
        <w:t>参照政府采购有关政策的要求，在本次的技术方案中，采用符合政策的小型或微型企业产品、节能产品、环境标志产品，主要产品与核心技术介绍说明如下：</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670"/>
        <w:gridCol w:w="1145"/>
        <w:gridCol w:w="1145"/>
        <w:gridCol w:w="1145"/>
        <w:gridCol w:w="1145"/>
        <w:gridCol w:w="1145"/>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Lines="50" w:afterLines="50" w:line="240" w:lineRule="auto"/>
              <w:jc w:val="center"/>
              <w:rPr>
                <w:rFonts w:ascii="宋体" w:hAnsi="宋体"/>
                <w:color w:val="auto"/>
                <w:sz w:val="24"/>
                <w:highlight w:val="none"/>
              </w:rPr>
            </w:pPr>
            <w:r>
              <w:rPr>
                <w:rFonts w:hint="eastAsia" w:ascii="宋体" w:hAnsi="宋体"/>
                <w:color w:val="auto"/>
                <w:sz w:val="24"/>
                <w:highlight w:val="none"/>
              </w:rPr>
              <w:t>序号</w:t>
            </w:r>
          </w:p>
        </w:tc>
        <w:tc>
          <w:tcPr>
            <w:tcW w:w="903" w:type="pct"/>
            <w:vAlign w:val="center"/>
          </w:tcPr>
          <w:p>
            <w:pPr>
              <w:pStyle w:val="2"/>
              <w:spacing w:beforeLines="50" w:afterLines="50" w:line="240" w:lineRule="auto"/>
              <w:jc w:val="center"/>
              <w:rPr>
                <w:rFonts w:ascii="宋体" w:hAnsi="宋体"/>
                <w:color w:val="auto"/>
                <w:sz w:val="24"/>
                <w:highlight w:val="none"/>
              </w:rPr>
            </w:pPr>
            <w:r>
              <w:rPr>
                <w:rFonts w:ascii="宋体" w:hAnsi="宋体"/>
                <w:color w:val="auto"/>
                <w:sz w:val="24"/>
                <w:highlight w:val="none"/>
              </w:rPr>
              <w:t>主要产品/技术名称（规格型号、注册商标）</w:t>
            </w:r>
          </w:p>
        </w:tc>
        <w:tc>
          <w:tcPr>
            <w:tcW w:w="619" w:type="pct"/>
            <w:vAlign w:val="center"/>
          </w:tcPr>
          <w:p>
            <w:pPr>
              <w:pStyle w:val="2"/>
              <w:spacing w:beforeLines="50" w:afterLines="50" w:line="240" w:lineRule="auto"/>
              <w:jc w:val="center"/>
              <w:rPr>
                <w:rFonts w:ascii="宋体" w:hAnsi="宋体"/>
                <w:color w:val="auto"/>
                <w:sz w:val="24"/>
                <w:highlight w:val="none"/>
              </w:rPr>
            </w:pPr>
            <w:r>
              <w:rPr>
                <w:rFonts w:ascii="宋体" w:hAnsi="宋体"/>
                <w:color w:val="auto"/>
                <w:sz w:val="24"/>
                <w:highlight w:val="none"/>
              </w:rPr>
              <w:t>制造商(开发商)</w:t>
            </w:r>
          </w:p>
        </w:tc>
        <w:tc>
          <w:tcPr>
            <w:tcW w:w="619" w:type="pct"/>
            <w:vAlign w:val="center"/>
          </w:tcPr>
          <w:p>
            <w:pPr>
              <w:pStyle w:val="2"/>
              <w:spacing w:beforeLines="50" w:afterLines="50" w:line="240" w:lineRule="auto"/>
              <w:jc w:val="center"/>
              <w:rPr>
                <w:rFonts w:ascii="宋体" w:hAnsi="宋体"/>
                <w:color w:val="auto"/>
                <w:sz w:val="24"/>
                <w:highlight w:val="none"/>
              </w:rPr>
            </w:pPr>
            <w:r>
              <w:rPr>
                <w:rFonts w:ascii="宋体" w:hAnsi="宋体"/>
                <w:color w:val="auto"/>
                <w:sz w:val="24"/>
                <w:highlight w:val="none"/>
              </w:rPr>
              <w:t>制造商企业类型</w:t>
            </w:r>
          </w:p>
        </w:tc>
        <w:tc>
          <w:tcPr>
            <w:tcW w:w="619" w:type="pct"/>
            <w:vAlign w:val="center"/>
          </w:tcPr>
          <w:p>
            <w:pPr>
              <w:pStyle w:val="2"/>
              <w:spacing w:beforeLines="50" w:afterLines="50" w:line="240" w:lineRule="auto"/>
              <w:jc w:val="center"/>
              <w:rPr>
                <w:rFonts w:ascii="宋体" w:hAnsi="宋体"/>
                <w:color w:val="auto"/>
                <w:sz w:val="24"/>
                <w:highlight w:val="none"/>
              </w:rPr>
            </w:pPr>
            <w:r>
              <w:rPr>
                <w:rFonts w:ascii="宋体" w:hAnsi="宋体"/>
                <w:color w:val="auto"/>
                <w:sz w:val="24"/>
                <w:highlight w:val="none"/>
              </w:rPr>
              <w:t>节能产品</w:t>
            </w:r>
          </w:p>
        </w:tc>
        <w:tc>
          <w:tcPr>
            <w:tcW w:w="619" w:type="pct"/>
            <w:vAlign w:val="center"/>
          </w:tcPr>
          <w:p>
            <w:pPr>
              <w:pStyle w:val="2"/>
              <w:spacing w:beforeLines="50" w:afterLines="50" w:line="240" w:lineRule="auto"/>
              <w:jc w:val="center"/>
              <w:rPr>
                <w:rFonts w:ascii="宋体" w:hAnsi="宋体"/>
                <w:color w:val="auto"/>
                <w:sz w:val="24"/>
                <w:highlight w:val="none"/>
              </w:rPr>
            </w:pPr>
            <w:r>
              <w:rPr>
                <w:rFonts w:ascii="宋体" w:hAnsi="宋体"/>
                <w:color w:val="auto"/>
                <w:sz w:val="24"/>
                <w:highlight w:val="none"/>
              </w:rPr>
              <w:t>环境标志产品</w:t>
            </w:r>
          </w:p>
        </w:tc>
        <w:tc>
          <w:tcPr>
            <w:tcW w:w="619" w:type="pct"/>
            <w:vAlign w:val="center"/>
          </w:tcPr>
          <w:p>
            <w:pPr>
              <w:pStyle w:val="2"/>
              <w:spacing w:beforeLines="50" w:afterLines="50" w:line="240" w:lineRule="auto"/>
              <w:jc w:val="center"/>
              <w:rPr>
                <w:rFonts w:ascii="宋体" w:hAnsi="宋体"/>
                <w:color w:val="auto"/>
                <w:sz w:val="24"/>
                <w:highlight w:val="none"/>
              </w:rPr>
            </w:pPr>
            <w:r>
              <w:rPr>
                <w:rFonts w:ascii="宋体" w:hAnsi="宋体"/>
                <w:color w:val="auto"/>
                <w:sz w:val="24"/>
                <w:highlight w:val="none"/>
              </w:rPr>
              <w:t>认证证书编号</w:t>
            </w:r>
          </w:p>
        </w:tc>
        <w:tc>
          <w:tcPr>
            <w:tcW w:w="619" w:type="pct"/>
            <w:vAlign w:val="center"/>
          </w:tcPr>
          <w:p>
            <w:pPr>
              <w:pStyle w:val="2"/>
              <w:spacing w:beforeLines="50" w:afterLines="50" w:line="240" w:lineRule="auto"/>
              <w:jc w:val="center"/>
              <w:rPr>
                <w:rFonts w:ascii="宋体" w:hAnsi="宋体"/>
                <w:color w:val="auto"/>
                <w:sz w:val="24"/>
                <w:highlight w:val="none"/>
              </w:rPr>
            </w:pPr>
            <w:r>
              <w:rPr>
                <w:rFonts w:ascii="宋体" w:hAnsi="宋体"/>
                <w:color w:val="auto"/>
                <w:sz w:val="24"/>
                <w:highlight w:val="none"/>
              </w:rPr>
              <w:t>该产品报价在总报价中占</w:t>
            </w:r>
            <w:r>
              <w:rPr>
                <w:rFonts w:ascii="宋体" w:hAnsi="宋体"/>
                <w:color w:val="auto"/>
                <w:w w:val="115"/>
                <w:sz w:val="24"/>
                <w:highlight w:val="none"/>
              </w:rPr>
              <w:t>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Lines="50" w:afterLines="50" w:line="240" w:lineRule="auto"/>
              <w:jc w:val="center"/>
              <w:rPr>
                <w:rFonts w:ascii="宋体" w:hAnsi="宋体"/>
                <w:color w:val="auto"/>
                <w:sz w:val="24"/>
                <w:highlight w:val="none"/>
              </w:rPr>
            </w:pPr>
            <w:r>
              <w:rPr>
                <w:rFonts w:hint="eastAsia" w:ascii="宋体" w:hAnsi="宋体"/>
                <w:color w:val="auto"/>
                <w:sz w:val="24"/>
                <w:highlight w:val="none"/>
              </w:rPr>
              <w:t>1</w:t>
            </w:r>
          </w:p>
        </w:tc>
        <w:tc>
          <w:tcPr>
            <w:tcW w:w="903"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Lines="50" w:afterLines="50" w:line="240" w:lineRule="auto"/>
              <w:jc w:val="center"/>
              <w:rPr>
                <w:rFonts w:ascii="宋体" w:hAnsi="宋体"/>
                <w:color w:val="auto"/>
                <w:sz w:val="24"/>
                <w:highlight w:val="none"/>
              </w:rPr>
            </w:pPr>
            <w:r>
              <w:rPr>
                <w:rFonts w:hint="eastAsia" w:ascii="宋体" w:hAnsi="宋体"/>
                <w:color w:val="auto"/>
                <w:sz w:val="24"/>
                <w:highlight w:val="none"/>
              </w:rPr>
              <w:t>2</w:t>
            </w:r>
          </w:p>
        </w:tc>
        <w:tc>
          <w:tcPr>
            <w:tcW w:w="903"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Lines="50" w:afterLines="50" w:line="240" w:lineRule="auto"/>
              <w:jc w:val="center"/>
              <w:rPr>
                <w:rFonts w:ascii="宋体" w:hAnsi="宋体"/>
                <w:color w:val="auto"/>
                <w:sz w:val="24"/>
                <w:highlight w:val="none"/>
              </w:rPr>
            </w:pPr>
            <w:r>
              <w:rPr>
                <w:rFonts w:hint="eastAsia" w:ascii="宋体" w:hAnsi="宋体"/>
                <w:color w:val="auto"/>
                <w:sz w:val="24"/>
                <w:highlight w:val="none"/>
              </w:rPr>
              <w:t>3</w:t>
            </w:r>
          </w:p>
        </w:tc>
        <w:tc>
          <w:tcPr>
            <w:tcW w:w="903"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Lines="50" w:afterLines="50" w:line="240" w:lineRule="auto"/>
              <w:jc w:val="center"/>
              <w:rPr>
                <w:rFonts w:ascii="宋体" w:hAnsi="宋体"/>
                <w:color w:val="auto"/>
                <w:sz w:val="24"/>
                <w:highlight w:val="none"/>
              </w:rPr>
            </w:pPr>
            <w:r>
              <w:rPr>
                <w:rFonts w:ascii="宋体" w:hAnsi="宋体"/>
                <w:color w:val="auto"/>
                <w:sz w:val="24"/>
                <w:highlight w:val="none"/>
              </w:rPr>
              <w:t>……</w:t>
            </w:r>
          </w:p>
        </w:tc>
        <w:tc>
          <w:tcPr>
            <w:tcW w:w="903"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c>
          <w:tcPr>
            <w:tcW w:w="619" w:type="pct"/>
            <w:vAlign w:val="center"/>
          </w:tcPr>
          <w:p>
            <w:pPr>
              <w:pStyle w:val="2"/>
              <w:spacing w:beforeLines="50" w:afterLines="50" w:line="240" w:lineRule="auto"/>
              <w:jc w:val="center"/>
              <w:rPr>
                <w:rFonts w:ascii="宋体" w:hAnsi="宋体"/>
                <w:color w:val="auto"/>
                <w:sz w:val="24"/>
                <w:highlight w:val="none"/>
              </w:rPr>
            </w:pPr>
          </w:p>
        </w:tc>
      </w:tr>
    </w:tbl>
    <w:p>
      <w:pPr>
        <w:pStyle w:val="2"/>
        <w:rPr>
          <w:rFonts w:ascii="宋体" w:hAnsi="宋体"/>
          <w:color w:val="auto"/>
          <w:sz w:val="24"/>
          <w:highlight w:val="none"/>
        </w:rPr>
      </w:pPr>
      <w:r>
        <w:rPr>
          <w:rFonts w:hint="eastAsia" w:ascii="宋体" w:hAnsi="宋体"/>
          <w:color w:val="auto"/>
          <w:sz w:val="24"/>
          <w:highlight w:val="none"/>
        </w:rPr>
        <w:t>注：</w:t>
      </w:r>
    </w:p>
    <w:p>
      <w:pPr>
        <w:pStyle w:val="2"/>
        <w:ind w:firstLine="480" w:firstLineChars="200"/>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rPr>
        <w:tab/>
      </w:r>
      <w:r>
        <w:rPr>
          <w:rFonts w:hint="eastAsia" w:ascii="宋体" w:hAnsi="宋体"/>
          <w:color w:val="auto"/>
          <w:sz w:val="24"/>
          <w:highlight w:val="none"/>
        </w:rPr>
        <w:t>制造商为小型或微型企业时才需要填“制造商企业类型”栏,填写内容为“小型”或“微型”；</w:t>
      </w:r>
    </w:p>
    <w:p>
      <w:pPr>
        <w:pStyle w:val="2"/>
        <w:ind w:firstLine="480" w:firstLineChars="200"/>
        <w:rPr>
          <w:rFonts w:ascii="宋体" w:hAnsi="宋体"/>
          <w:color w:val="auto"/>
          <w:sz w:val="24"/>
          <w:highlight w:val="none"/>
        </w:rPr>
      </w:pPr>
      <w:r>
        <w:rPr>
          <w:rFonts w:hint="eastAsia" w:ascii="宋体" w:hAnsi="宋体"/>
          <w:color w:val="auto"/>
          <w:sz w:val="24"/>
          <w:highlight w:val="none"/>
        </w:rPr>
        <w:t>2.</w:t>
      </w:r>
      <w:r>
        <w:rPr>
          <w:rFonts w:hint="eastAsia" w:ascii="宋体" w:hAnsi="宋体"/>
          <w:color w:val="auto"/>
          <w:sz w:val="24"/>
          <w:highlight w:val="none"/>
        </w:rPr>
        <w:tab/>
      </w:r>
      <w:r>
        <w:rPr>
          <w:rFonts w:hint="eastAsia" w:ascii="宋体" w:hAnsi="宋体"/>
          <w:color w:val="auto"/>
          <w:sz w:val="24"/>
          <w:highlight w:val="none"/>
        </w:rPr>
        <w:t>“节能产品、环境标志产品”须填写认证证书编号，并在对应“节能产品”、“环境标志产品”栏中勾选，同时提供有效期内的证书复印件（加盖供应商公章）</w:t>
      </w:r>
    </w:p>
    <w:p>
      <w:pPr>
        <w:pStyle w:val="2"/>
        <w:ind w:firstLine="480" w:firstLineChars="200"/>
        <w:rPr>
          <w:rFonts w:ascii="宋体" w:hAnsi="宋体"/>
          <w:color w:val="auto"/>
          <w:sz w:val="24"/>
          <w:highlight w:val="none"/>
        </w:rPr>
      </w:pPr>
    </w:p>
    <w:p>
      <w:pPr>
        <w:pStyle w:val="356"/>
        <w:spacing w:line="480" w:lineRule="auto"/>
        <w:ind w:firstLine="0" w:firstLineChars="0"/>
        <w:jc w:val="right"/>
        <w:rPr>
          <w:color w:val="auto"/>
          <w:highlight w:val="none"/>
          <w:lang w:eastAsia="zh-CN"/>
        </w:rPr>
      </w:pPr>
      <w:bookmarkStart w:id="130" w:name="_Hlk112010292"/>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jc w:val="right"/>
        <w:rPr>
          <w:rFonts w:ascii="宋体" w:hAnsi="宋体"/>
          <w:color w:val="auto"/>
          <w:sz w:val="24"/>
          <w:highlight w:val="none"/>
        </w:rPr>
      </w:pPr>
      <w:r>
        <w:rPr>
          <w:rFonts w:hint="eastAsia" w:ascii="宋体" w:hAnsi="宋体"/>
          <w:color w:val="auto"/>
          <w:sz w:val="24"/>
          <w:highlight w:val="none"/>
        </w:rPr>
        <w:t>日期：</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bookmarkEnd w:id="130"/>
      <w:r>
        <w:rPr>
          <w:rFonts w:ascii="宋体" w:hAnsi="宋体"/>
          <w:color w:val="auto"/>
          <w:sz w:val="24"/>
          <w:highlight w:val="none"/>
        </w:rPr>
        <w:t>日</w:t>
      </w:r>
    </w:p>
    <w:p>
      <w:pPr>
        <w:pStyle w:val="2"/>
        <w:rPr>
          <w:color w:val="auto"/>
          <w:highlight w:val="none"/>
        </w:rPr>
      </w:pPr>
    </w:p>
    <w:p>
      <w:pPr>
        <w:pStyle w:val="2"/>
        <w:rPr>
          <w:color w:val="auto"/>
          <w:highlight w:val="none"/>
        </w:rPr>
      </w:pPr>
    </w:p>
    <w:p>
      <w:pPr>
        <w:rPr>
          <w:rFonts w:ascii="宋体" w:hAnsi="宋体"/>
          <w:b/>
          <w:bCs/>
          <w:color w:val="auto"/>
          <w:sz w:val="24"/>
          <w:highlight w:val="none"/>
        </w:rPr>
      </w:pPr>
      <w:bookmarkStart w:id="131" w:name="_Toc103033236"/>
      <w:r>
        <w:rPr>
          <w:rFonts w:ascii="宋体" w:hAnsi="宋体"/>
          <w:color w:val="auto"/>
          <w:sz w:val="24"/>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132" w:name="_Toc104040705"/>
      <w:r>
        <w:rPr>
          <w:rFonts w:hint="eastAsia" w:ascii="宋体" w:hAnsi="宋体"/>
          <w:color w:val="auto"/>
          <w:szCs w:val="24"/>
          <w:highlight w:val="none"/>
        </w:rPr>
        <w:t>法定代表人证明书</w:t>
      </w:r>
      <w:bookmarkEnd w:id="131"/>
      <w:bookmarkEnd w:id="132"/>
    </w:p>
    <w:p>
      <w:pPr>
        <w:pStyle w:val="358"/>
        <w:jc w:val="left"/>
        <w:outlineLvl w:val="9"/>
        <w:rPr>
          <w:b w:val="0"/>
          <w:bCs w:val="0"/>
          <w:i/>
          <w:iCs/>
          <w:color w:val="auto"/>
          <w:sz w:val="21"/>
          <w:szCs w:val="20"/>
          <w:highlight w:val="none"/>
          <w:lang w:eastAsia="zh-CN"/>
        </w:rPr>
      </w:pPr>
      <w:r>
        <w:rPr>
          <w:rFonts w:hint="eastAsia"/>
          <w:b w:val="0"/>
          <w:bCs w:val="0"/>
          <w:i/>
          <w:iCs/>
          <w:color w:val="auto"/>
          <w:sz w:val="21"/>
          <w:szCs w:val="20"/>
          <w:highlight w:val="none"/>
          <w:lang w:eastAsia="zh-CN"/>
        </w:rPr>
        <w:t>（供应商可使用下述格式，也可使用广东省工商行政管理局统一印制的法定代表人证明书格式）</w:t>
      </w:r>
    </w:p>
    <w:p>
      <w:pPr>
        <w:pStyle w:val="358"/>
        <w:jc w:val="center"/>
        <w:outlineLvl w:val="9"/>
        <w:rPr>
          <w:color w:val="auto"/>
          <w:sz w:val="28"/>
          <w:szCs w:val="28"/>
          <w:highlight w:val="none"/>
          <w:lang w:eastAsia="zh-CN"/>
        </w:rPr>
      </w:pPr>
      <w:r>
        <w:rPr>
          <w:rFonts w:hint="eastAsia"/>
          <w:color w:val="auto"/>
          <w:sz w:val="28"/>
          <w:szCs w:val="28"/>
          <w:highlight w:val="none"/>
          <w:lang w:eastAsia="zh-CN"/>
        </w:rPr>
        <w:t>法定代表人证明书</w:t>
      </w:r>
    </w:p>
    <w:p>
      <w:pPr>
        <w:pStyle w:val="356"/>
        <w:ind w:firstLine="0" w:firstLineChars="0"/>
        <w:rPr>
          <w:color w:val="auto"/>
          <w:highlight w:val="none"/>
          <w:lang w:eastAsia="zh-CN"/>
        </w:rPr>
      </w:pPr>
    </w:p>
    <w:p>
      <w:pPr>
        <w:pStyle w:val="2"/>
        <w:tabs>
          <w:tab w:val="left" w:pos="1500"/>
          <w:tab w:val="left" w:pos="3223"/>
          <w:tab w:val="left" w:pos="3947"/>
          <w:tab w:val="left" w:pos="7064"/>
        </w:tabs>
        <w:ind w:firstLine="480" w:firstLineChars="200"/>
        <w:rPr>
          <w:rFonts w:ascii="宋体" w:hAnsi="宋体"/>
          <w:color w:val="auto"/>
          <w:sz w:val="24"/>
          <w:highlight w:val="none"/>
        </w:rPr>
      </w:pP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现任我单位</w:t>
      </w:r>
      <w:r>
        <w:rPr>
          <w:rFonts w:hint="eastAsia" w:ascii="宋体" w:hAnsi="宋体"/>
          <w:color w:val="auto"/>
          <w:sz w:val="24"/>
          <w:highlight w:val="none"/>
          <w:u w:val="single"/>
        </w:rPr>
        <w:t xml:space="preserve">      </w:t>
      </w:r>
      <w:r>
        <w:rPr>
          <w:rFonts w:ascii="宋体" w:hAnsi="宋体"/>
          <w:color w:val="auto"/>
          <w:sz w:val="24"/>
          <w:highlight w:val="none"/>
        </w:rPr>
        <w:t>职务</w:t>
      </w:r>
      <w:r>
        <w:rPr>
          <w:rFonts w:hint="eastAsia" w:ascii="宋体" w:hAnsi="宋体"/>
          <w:color w:val="auto"/>
          <w:sz w:val="24"/>
          <w:highlight w:val="none"/>
        </w:rPr>
        <w:t>，</w:t>
      </w:r>
      <w:r>
        <w:rPr>
          <w:rFonts w:ascii="宋体" w:hAnsi="宋体"/>
          <w:color w:val="auto"/>
          <w:sz w:val="24"/>
          <w:highlight w:val="none"/>
        </w:rPr>
        <w:t>为法定代表人，特此证明。</w:t>
      </w:r>
    </w:p>
    <w:p>
      <w:pPr>
        <w:pStyle w:val="2"/>
        <w:tabs>
          <w:tab w:val="left" w:pos="1020"/>
          <w:tab w:val="left" w:pos="3223"/>
          <w:tab w:val="left" w:pos="3947"/>
          <w:tab w:val="left" w:pos="7064"/>
        </w:tabs>
        <w:ind w:firstLine="480" w:firstLineChars="200"/>
        <w:rPr>
          <w:rFonts w:ascii="宋体" w:hAnsi="宋体"/>
          <w:color w:val="auto"/>
          <w:sz w:val="24"/>
          <w:highlight w:val="none"/>
          <w:u w:val="single"/>
        </w:rPr>
      </w:pPr>
      <w:r>
        <w:rPr>
          <w:rFonts w:ascii="宋体" w:hAnsi="宋体"/>
          <w:color w:val="auto"/>
          <w:sz w:val="24"/>
          <w:highlight w:val="none"/>
        </w:rPr>
        <w:t>有效期限：</w:t>
      </w:r>
      <w:bookmarkStart w:id="133" w:name="_Hlk102939377"/>
      <w:r>
        <w:rPr>
          <w:rFonts w:hint="eastAsia" w:ascii="宋体" w:hAnsi="宋体"/>
          <w:color w:val="auto"/>
          <w:sz w:val="24"/>
          <w:highlight w:val="none"/>
          <w:u w:val="single"/>
        </w:rPr>
        <w:t>与响应有效期一致。</w:t>
      </w:r>
      <w:bookmarkEnd w:id="133"/>
    </w:p>
    <w:p>
      <w:pPr>
        <w:pStyle w:val="2"/>
        <w:tabs>
          <w:tab w:val="left" w:pos="1020"/>
          <w:tab w:val="left" w:pos="3223"/>
          <w:tab w:val="left" w:pos="3947"/>
          <w:tab w:val="left" w:pos="8505"/>
        </w:tabs>
        <w:ind w:firstLine="480" w:firstLineChars="200"/>
        <w:rPr>
          <w:rFonts w:ascii="宋体" w:hAnsi="宋体"/>
          <w:color w:val="auto"/>
          <w:sz w:val="24"/>
          <w:highlight w:val="none"/>
          <w:u w:val="single"/>
        </w:rPr>
      </w:pPr>
      <w:r>
        <w:rPr>
          <w:rFonts w:ascii="宋体" w:hAnsi="宋体"/>
          <w:color w:val="auto"/>
          <w:sz w:val="24"/>
          <w:highlight w:val="none"/>
        </w:rPr>
        <w:t>附：代表人性别：</w:t>
      </w:r>
      <w:r>
        <w:rPr>
          <w:rFonts w:ascii="宋体" w:hAnsi="宋体"/>
          <w:color w:val="auto"/>
          <w:sz w:val="24"/>
          <w:highlight w:val="none"/>
          <w:u w:val="single"/>
        </w:rPr>
        <w:t xml:space="preserve">      </w:t>
      </w:r>
      <w:r>
        <w:rPr>
          <w:rFonts w:ascii="宋体" w:hAnsi="宋体"/>
          <w:color w:val="auto"/>
          <w:sz w:val="24"/>
          <w:highlight w:val="none"/>
        </w:rPr>
        <w:t>年龄：</w:t>
      </w:r>
      <w:r>
        <w:rPr>
          <w:rFonts w:ascii="宋体" w:hAnsi="宋体"/>
          <w:color w:val="auto"/>
          <w:sz w:val="24"/>
          <w:highlight w:val="none"/>
          <w:u w:val="single"/>
        </w:rPr>
        <w:t xml:space="preserve">      </w:t>
      </w:r>
      <w:r>
        <w:rPr>
          <w:rFonts w:ascii="宋体" w:hAnsi="宋体"/>
          <w:color w:val="auto"/>
          <w:sz w:val="24"/>
          <w:highlight w:val="none"/>
        </w:rPr>
        <w:t>身份证号码：</w:t>
      </w:r>
      <w:r>
        <w:rPr>
          <w:rFonts w:ascii="宋体" w:hAnsi="宋体"/>
          <w:color w:val="auto"/>
          <w:sz w:val="24"/>
          <w:highlight w:val="none"/>
          <w:u w:val="single"/>
        </w:rPr>
        <w:t xml:space="preserve">            .</w:t>
      </w:r>
    </w:p>
    <w:p>
      <w:pPr>
        <w:pStyle w:val="2"/>
        <w:tabs>
          <w:tab w:val="left" w:pos="1020"/>
          <w:tab w:val="left" w:pos="3223"/>
          <w:tab w:val="left" w:pos="3947"/>
          <w:tab w:val="left" w:pos="7064"/>
        </w:tabs>
        <w:ind w:firstLine="480" w:firstLineChars="200"/>
        <w:rPr>
          <w:rFonts w:ascii="宋体" w:hAnsi="宋体"/>
          <w:color w:val="auto"/>
          <w:sz w:val="24"/>
          <w:highlight w:val="none"/>
          <w:u w:val="single"/>
        </w:rPr>
      </w:pPr>
      <w:r>
        <w:rPr>
          <w:rFonts w:ascii="宋体" w:hAnsi="宋体"/>
          <w:color w:val="auto"/>
          <w:sz w:val="24"/>
          <w:highlight w:val="none"/>
        </w:rPr>
        <w:t>注册号码：</w:t>
      </w:r>
      <w:r>
        <w:rPr>
          <w:rFonts w:ascii="宋体" w:hAnsi="宋体"/>
          <w:color w:val="auto"/>
          <w:sz w:val="24"/>
          <w:highlight w:val="none"/>
          <w:u w:val="single"/>
        </w:rPr>
        <w:t xml:space="preserve">            </w:t>
      </w:r>
      <w:r>
        <w:rPr>
          <w:rFonts w:ascii="宋体" w:hAnsi="宋体"/>
          <w:color w:val="auto"/>
          <w:sz w:val="24"/>
          <w:highlight w:val="none"/>
        </w:rPr>
        <w:t>企业类型：</w:t>
      </w:r>
      <w:r>
        <w:rPr>
          <w:rFonts w:ascii="宋体" w:hAnsi="宋体"/>
          <w:color w:val="auto"/>
          <w:sz w:val="24"/>
          <w:highlight w:val="none"/>
          <w:u w:val="single"/>
        </w:rPr>
        <w:t xml:space="preserve">              </w:t>
      </w:r>
      <w:r>
        <w:rPr>
          <w:rFonts w:hint="eastAsia" w:ascii="宋体" w:hAnsi="宋体"/>
          <w:color w:val="auto"/>
          <w:sz w:val="24"/>
          <w:highlight w:val="none"/>
          <w:u w:val="single"/>
        </w:rPr>
        <w:t>.</w:t>
      </w:r>
    </w:p>
    <w:p>
      <w:pPr>
        <w:pStyle w:val="2"/>
        <w:tabs>
          <w:tab w:val="left" w:pos="1020"/>
          <w:tab w:val="left" w:pos="3223"/>
          <w:tab w:val="left" w:pos="3947"/>
          <w:tab w:val="left" w:pos="7064"/>
        </w:tabs>
        <w:ind w:firstLine="480" w:firstLineChars="200"/>
        <w:rPr>
          <w:rFonts w:ascii="宋体" w:hAnsi="宋体"/>
          <w:color w:val="auto"/>
          <w:sz w:val="24"/>
          <w:highlight w:val="none"/>
          <w:u w:val="single"/>
        </w:rPr>
      </w:pPr>
      <w:r>
        <w:rPr>
          <w:rFonts w:ascii="宋体" w:hAnsi="宋体"/>
          <w:color w:val="auto"/>
          <w:sz w:val="24"/>
          <w:highlight w:val="none"/>
        </w:rPr>
        <w:t>经营范围：</w:t>
      </w:r>
      <w:r>
        <w:rPr>
          <w:rFonts w:ascii="宋体" w:hAnsi="宋体"/>
          <w:color w:val="auto"/>
          <w:sz w:val="24"/>
          <w:highlight w:val="none"/>
          <w:u w:val="single"/>
        </w:rPr>
        <w:t xml:space="preserve">           </w:t>
      </w:r>
      <w:r>
        <w:rPr>
          <w:rFonts w:hint="eastAsia" w:ascii="宋体" w:hAnsi="宋体"/>
          <w:color w:val="auto"/>
          <w:sz w:val="24"/>
          <w:highlight w:val="none"/>
          <w:u w:val="single"/>
        </w:rPr>
        <w:t>.</w:t>
      </w:r>
    </w:p>
    <w:p>
      <w:pPr>
        <w:pStyle w:val="2"/>
        <w:tabs>
          <w:tab w:val="left" w:pos="1020"/>
          <w:tab w:val="left" w:pos="3223"/>
          <w:tab w:val="left" w:pos="3947"/>
          <w:tab w:val="left" w:pos="7064"/>
        </w:tabs>
        <w:ind w:right="-35"/>
        <w:rPr>
          <w:rFonts w:ascii="宋体" w:hAnsi="宋体"/>
          <w:color w:val="auto"/>
          <w:sz w:val="24"/>
          <w:highlight w:val="none"/>
        </w:rPr>
      </w:pPr>
    </w:p>
    <w:p>
      <w:pPr>
        <w:pStyle w:val="2"/>
        <w:tabs>
          <w:tab w:val="left" w:pos="10713"/>
        </w:tabs>
        <w:ind w:left="3223" w:leftChars="1535"/>
        <w:jc w:val="right"/>
        <w:rPr>
          <w:rFonts w:ascii="宋体" w:hAnsi="宋体"/>
          <w:color w:val="auto"/>
          <w:sz w:val="24"/>
          <w:highlight w:val="none"/>
        </w:rPr>
      </w:pPr>
      <w:r>
        <w:rPr>
          <w:rFonts w:hint="eastAsia" w:ascii="宋体" w:hAnsi="宋体"/>
          <w:color w:val="auto"/>
          <w:sz w:val="24"/>
          <w:highlight w:val="none"/>
        </w:rPr>
        <w:t>供应商名称</w:t>
      </w:r>
      <w:r>
        <w:rPr>
          <w:rFonts w:ascii="宋体" w:hAnsi="宋体"/>
          <w:color w:val="auto"/>
          <w:sz w:val="24"/>
          <w:highlight w:val="none"/>
        </w:rPr>
        <w:t>（</w:t>
      </w:r>
      <w:r>
        <w:rPr>
          <w:rFonts w:hint="eastAsia" w:ascii="宋体" w:hAnsi="宋体"/>
          <w:color w:val="auto"/>
          <w:sz w:val="24"/>
          <w:highlight w:val="none"/>
        </w:rPr>
        <w:t>盖章</w:t>
      </w:r>
      <w:r>
        <w:rPr>
          <w:rFonts w:ascii="宋体" w:hAnsi="宋体"/>
          <w:color w:val="auto"/>
          <w:sz w:val="24"/>
          <w:highlight w:val="none"/>
        </w:rPr>
        <w:t>）：</w:t>
      </w:r>
      <w:r>
        <w:rPr>
          <w:rFonts w:ascii="宋体" w:hAnsi="宋体"/>
          <w:color w:val="auto"/>
          <w:sz w:val="24"/>
          <w:highlight w:val="none"/>
          <w:u w:val="single"/>
        </w:rPr>
        <w:t xml:space="preserve">               </w:t>
      </w:r>
      <w:r>
        <w:rPr>
          <w:rFonts w:hint="eastAsia" w:ascii="宋体" w:hAnsi="宋体"/>
          <w:color w:val="auto"/>
          <w:sz w:val="24"/>
          <w:highlight w:val="none"/>
          <w:u w:val="single"/>
        </w:rPr>
        <w:t>.</w:t>
      </w:r>
    </w:p>
    <w:p>
      <w:pPr>
        <w:pStyle w:val="2"/>
        <w:tabs>
          <w:tab w:val="left" w:pos="10713"/>
        </w:tabs>
        <w:jc w:val="right"/>
        <w:rPr>
          <w:rFonts w:ascii="宋体" w:hAnsi="宋体"/>
          <w:color w:val="auto"/>
          <w:sz w:val="24"/>
          <w:highlight w:val="none"/>
          <w:u w:val="single"/>
        </w:rPr>
      </w:pPr>
      <w:r>
        <w:rPr>
          <w:rFonts w:ascii="宋体" w:hAnsi="宋体"/>
          <w:color w:val="auto"/>
          <w:sz w:val="24"/>
          <w:highlight w:val="none"/>
        </w:rPr>
        <w:t>地址：</w:t>
      </w:r>
      <w:r>
        <w:rPr>
          <w:rFonts w:ascii="宋体" w:hAnsi="宋体"/>
          <w:color w:val="auto"/>
          <w:sz w:val="24"/>
          <w:highlight w:val="none"/>
          <w:u w:val="single"/>
        </w:rPr>
        <w:t xml:space="preserve">               </w:t>
      </w:r>
      <w:r>
        <w:rPr>
          <w:rFonts w:hint="eastAsia" w:ascii="宋体" w:hAnsi="宋体"/>
          <w:color w:val="auto"/>
          <w:sz w:val="24"/>
          <w:highlight w:val="none"/>
          <w:u w:val="single"/>
        </w:rPr>
        <w:t>.</w:t>
      </w:r>
    </w:p>
    <w:p>
      <w:pPr>
        <w:pStyle w:val="2"/>
        <w:tabs>
          <w:tab w:val="left" w:pos="10713"/>
        </w:tabs>
        <w:jc w:val="right"/>
        <w:rPr>
          <w:rFonts w:ascii="宋体" w:hAnsi="宋体"/>
          <w:color w:val="auto"/>
          <w:sz w:val="24"/>
          <w:highlight w:val="none"/>
          <w:u w:val="single"/>
        </w:rPr>
      </w:pPr>
      <w:r>
        <w:rPr>
          <w:rFonts w:ascii="宋体" w:hAnsi="宋体"/>
          <w:color w:val="auto"/>
          <w:sz w:val="24"/>
          <w:highlight w:val="none"/>
        </w:rPr>
        <w:t>法定代表人（签字或盖章）：</w:t>
      </w:r>
      <w:r>
        <w:rPr>
          <w:rFonts w:ascii="宋体" w:hAnsi="宋体"/>
          <w:color w:val="auto"/>
          <w:sz w:val="24"/>
          <w:highlight w:val="none"/>
          <w:u w:val="single"/>
        </w:rPr>
        <w:t xml:space="preserve">               </w:t>
      </w:r>
      <w:r>
        <w:rPr>
          <w:rFonts w:hint="eastAsia" w:ascii="宋体" w:hAnsi="宋体"/>
          <w:color w:val="auto"/>
          <w:sz w:val="24"/>
          <w:highlight w:val="none"/>
          <w:u w:val="single"/>
        </w:rPr>
        <w:t>.</w:t>
      </w:r>
    </w:p>
    <w:p>
      <w:pPr>
        <w:pStyle w:val="2"/>
        <w:ind w:left="3223" w:leftChars="1535"/>
        <w:jc w:val="right"/>
        <w:rPr>
          <w:rFonts w:ascii="宋体" w:hAnsi="宋体"/>
          <w:color w:val="auto"/>
          <w:sz w:val="24"/>
          <w:highlight w:val="none"/>
        </w:rPr>
      </w:pPr>
      <w:r>
        <w:rPr>
          <w:rFonts w:ascii="宋体" w:hAnsi="宋体"/>
          <w:color w:val="auto"/>
          <w:sz w:val="24"/>
          <w:highlight w:val="none"/>
        </w:rPr>
        <w:t>职务：</w:t>
      </w:r>
      <w:r>
        <w:rPr>
          <w:rFonts w:ascii="宋体" w:hAnsi="宋体"/>
          <w:color w:val="auto"/>
          <w:sz w:val="24"/>
          <w:highlight w:val="none"/>
          <w:u w:val="single"/>
        </w:rPr>
        <w:t xml:space="preserve">               </w:t>
      </w:r>
      <w:r>
        <w:rPr>
          <w:rFonts w:hint="eastAsia" w:ascii="宋体" w:hAnsi="宋体"/>
          <w:color w:val="auto"/>
          <w:sz w:val="24"/>
          <w:highlight w:val="none"/>
          <w:u w:val="single"/>
        </w:rPr>
        <w:t>.</w:t>
      </w:r>
      <w:r>
        <w:rPr>
          <w:rFonts w:ascii="宋体" w:hAnsi="宋体"/>
          <w:color w:val="auto"/>
          <w:sz w:val="24"/>
          <w:highlight w:val="none"/>
          <w:u w:val="single"/>
        </w:rPr>
        <w:t xml:space="preserve"> </w:t>
      </w:r>
    </w:p>
    <w:p>
      <w:pPr>
        <w:pStyle w:val="2"/>
        <w:ind w:right="-52"/>
        <w:jc w:val="right"/>
        <w:rPr>
          <w:rFonts w:ascii="宋体" w:hAnsi="宋体"/>
          <w:color w:val="auto"/>
          <w:sz w:val="24"/>
          <w:highlight w:val="none"/>
        </w:rPr>
      </w:pPr>
      <w:r>
        <w:rPr>
          <w:rFonts w:ascii="宋体" w:hAnsi="宋体"/>
          <w:color w:val="auto"/>
          <w:sz w:val="24"/>
          <w:highlight w:val="none"/>
        </w:rPr>
        <w:t>日期：</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ascii="宋体" w:hAnsi="宋体"/>
          <w:color w:val="auto"/>
          <w:sz w:val="24"/>
          <w:highlight w:val="none"/>
        </w:rPr>
        <w:t>日</w:t>
      </w:r>
    </w:p>
    <w:p>
      <w:pPr>
        <w:spacing w:line="440" w:lineRule="exact"/>
        <w:rPr>
          <w:rFonts w:ascii="宋体" w:hAnsi="宋体"/>
          <w:color w:val="auto"/>
          <w:sz w:val="24"/>
          <w:highlight w:val="none"/>
        </w:rPr>
      </w:pPr>
    </w:p>
    <w:p>
      <w:pPr>
        <w:rPr>
          <w:rFonts w:ascii="宋体" w:hAnsi="宋体"/>
          <w:b/>
          <w:color w:val="auto"/>
          <w:sz w:val="24"/>
          <w:highlight w:val="none"/>
        </w:rPr>
      </w:pPr>
      <w:bookmarkStart w:id="134" w:name="_Hlk112010324"/>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jc w:val="center"/>
              <w:rPr>
                <w:rFonts w:ascii="宋体" w:hAnsi="宋体"/>
                <w:color w:val="auto"/>
                <w:sz w:val="24"/>
                <w:highlight w:val="none"/>
              </w:rPr>
            </w:pPr>
            <w:bookmarkStart w:id="135" w:name="_Hlk112010312"/>
            <w:r>
              <w:rPr>
                <w:rFonts w:hint="eastAsia" w:ascii="宋体" w:hAnsi="宋体"/>
                <w:color w:val="auto"/>
                <w:sz w:val="24"/>
                <w:highlight w:val="none"/>
              </w:rPr>
              <w:t>法定代表人身份证复印件</w:t>
            </w:r>
          </w:p>
          <w:p>
            <w:pPr>
              <w:jc w:val="center"/>
              <w:rPr>
                <w:rFonts w:ascii="宋体" w:hAnsi="宋体"/>
                <w:b/>
                <w:color w:val="auto"/>
                <w:sz w:val="24"/>
                <w:highlight w:val="none"/>
              </w:rPr>
            </w:pPr>
            <w:r>
              <w:rPr>
                <w:rFonts w:hint="eastAsia" w:ascii="宋体" w:hAnsi="宋体"/>
                <w:color w:val="auto"/>
                <w:sz w:val="24"/>
                <w:highlight w:val="none"/>
              </w:rPr>
              <w:t>（正、反</w:t>
            </w:r>
            <w:r>
              <w:rPr>
                <w:rFonts w:ascii="宋体" w:hAnsi="宋体"/>
                <w:color w:val="auto"/>
                <w:sz w:val="24"/>
                <w:highlight w:val="none"/>
              </w:rPr>
              <w:t>两面</w:t>
            </w:r>
            <w:r>
              <w:rPr>
                <w:rFonts w:hint="eastAsia" w:ascii="宋体" w:hAnsi="宋体"/>
                <w:color w:val="auto"/>
                <w:sz w:val="24"/>
                <w:highlight w:val="none"/>
              </w:rPr>
              <w:t>）</w:t>
            </w:r>
          </w:p>
        </w:tc>
      </w:tr>
      <w:bookmarkEnd w:id="135"/>
    </w:tbl>
    <w:p>
      <w:pPr>
        <w:rPr>
          <w:rFonts w:ascii="宋体" w:hAnsi="宋体"/>
          <w:b/>
          <w:color w:val="auto"/>
          <w:szCs w:val="21"/>
          <w:highlight w:val="none"/>
        </w:rPr>
      </w:pPr>
    </w:p>
    <w:p>
      <w:pPr>
        <w:rPr>
          <w:rFonts w:ascii="宋体" w:hAnsi="宋体"/>
          <w:b/>
          <w:color w:val="auto"/>
          <w:szCs w:val="21"/>
          <w:highlight w:val="none"/>
        </w:rPr>
      </w:pPr>
      <w:r>
        <w:rPr>
          <w:rFonts w:hint="eastAsia" w:ascii="宋体" w:hAnsi="宋体"/>
          <w:b/>
          <w:color w:val="auto"/>
          <w:szCs w:val="21"/>
          <w:highlight w:val="none"/>
        </w:rPr>
        <w:t>说明：供应商应须提供法定代表人身份证复印件，否则作无效响应处理。</w:t>
      </w:r>
    </w:p>
    <w:bookmarkEnd w:id="134"/>
    <w:p>
      <w:pPr>
        <w:rPr>
          <w:rFonts w:ascii="宋体" w:hAnsi="宋体"/>
          <w:b/>
          <w:color w:val="auto"/>
          <w:sz w:val="24"/>
          <w:highlight w:val="none"/>
        </w:rPr>
      </w:pPr>
    </w:p>
    <w:p>
      <w:pPr>
        <w:pStyle w:val="2"/>
        <w:rPr>
          <w:rFonts w:ascii="宋体" w:hAnsi="宋体"/>
          <w:color w:val="auto"/>
          <w:sz w:val="24"/>
          <w:highlight w:val="none"/>
        </w:rPr>
      </w:pPr>
    </w:p>
    <w:p>
      <w:pPr>
        <w:pStyle w:val="2"/>
        <w:rPr>
          <w:rFonts w:ascii="宋体" w:hAnsi="宋体"/>
          <w:color w:val="auto"/>
          <w:sz w:val="24"/>
          <w:highlight w:val="none"/>
        </w:rPr>
      </w:pPr>
    </w:p>
    <w:p>
      <w:pPr>
        <w:pStyle w:val="4"/>
        <w:keepNext w:val="0"/>
        <w:keepLines w:val="0"/>
        <w:numPr>
          <w:ilvl w:val="0"/>
          <w:numId w:val="27"/>
        </w:numPr>
        <w:spacing w:before="120" w:after="120" w:line="240" w:lineRule="auto"/>
        <w:rPr>
          <w:rFonts w:ascii="宋体" w:hAnsi="宋体"/>
          <w:color w:val="auto"/>
          <w:szCs w:val="24"/>
          <w:highlight w:val="none"/>
        </w:rPr>
      </w:pPr>
      <w:r>
        <w:rPr>
          <w:rFonts w:ascii="宋体" w:hAnsi="宋体"/>
          <w:bCs w:val="0"/>
          <w:color w:val="auto"/>
          <w:sz w:val="28"/>
          <w:szCs w:val="28"/>
          <w:highlight w:val="none"/>
        </w:rPr>
        <w:br w:type="page"/>
      </w:r>
      <w:bookmarkStart w:id="136" w:name="_Toc104040706"/>
      <w:bookmarkStart w:id="137" w:name="_Toc103033237"/>
      <w:r>
        <w:rPr>
          <w:rFonts w:hint="eastAsia" w:ascii="宋体" w:hAnsi="宋体"/>
          <w:color w:val="auto"/>
          <w:szCs w:val="24"/>
          <w:highlight w:val="none"/>
        </w:rPr>
        <w:t>法定代表人授权书</w:t>
      </w:r>
      <w:bookmarkEnd w:id="121"/>
      <w:bookmarkEnd w:id="122"/>
      <w:bookmarkEnd w:id="123"/>
      <w:bookmarkEnd w:id="124"/>
      <w:bookmarkEnd w:id="125"/>
      <w:bookmarkEnd w:id="136"/>
      <w:bookmarkEnd w:id="137"/>
    </w:p>
    <w:p>
      <w:pPr>
        <w:pStyle w:val="358"/>
        <w:jc w:val="left"/>
        <w:outlineLvl w:val="9"/>
        <w:rPr>
          <w:b w:val="0"/>
          <w:bCs w:val="0"/>
          <w:i/>
          <w:iCs/>
          <w:color w:val="auto"/>
          <w:sz w:val="21"/>
          <w:szCs w:val="20"/>
          <w:highlight w:val="none"/>
          <w:lang w:eastAsia="zh-CN"/>
        </w:rPr>
      </w:pPr>
      <w:r>
        <w:rPr>
          <w:rFonts w:hint="eastAsia"/>
          <w:b w:val="0"/>
          <w:bCs w:val="0"/>
          <w:i/>
          <w:iCs/>
          <w:color w:val="auto"/>
          <w:sz w:val="21"/>
          <w:szCs w:val="20"/>
          <w:highlight w:val="none"/>
          <w:lang w:eastAsia="zh-CN"/>
        </w:rPr>
        <w:t>（对于银行、保险、电信、邮政、铁路等行业以及获得总公司响应授权的分公司，可以提供响应分支机构负责人授权书）</w:t>
      </w:r>
    </w:p>
    <w:p>
      <w:pPr>
        <w:spacing w:line="480" w:lineRule="exact"/>
        <w:jc w:val="center"/>
        <w:rPr>
          <w:rFonts w:ascii="宋体" w:hAnsi="宋体"/>
          <w:b/>
          <w:color w:val="auto"/>
          <w:sz w:val="28"/>
          <w:szCs w:val="28"/>
          <w:highlight w:val="none"/>
        </w:rPr>
      </w:pPr>
      <w:r>
        <w:rPr>
          <w:rFonts w:hint="eastAsia" w:ascii="宋体" w:hAnsi="宋体"/>
          <w:b/>
          <w:color w:val="auto"/>
          <w:sz w:val="28"/>
          <w:szCs w:val="28"/>
          <w:highlight w:val="none"/>
        </w:rPr>
        <w:t>法定代表人授权书</w:t>
      </w:r>
    </w:p>
    <w:p>
      <w:pPr>
        <w:rPr>
          <w:rFonts w:ascii="宋体" w:hAnsi="宋体"/>
          <w:color w:val="auto"/>
          <w:sz w:val="18"/>
          <w:highlight w:val="none"/>
        </w:rPr>
      </w:pPr>
    </w:p>
    <w:p>
      <w:pPr>
        <w:pStyle w:val="2"/>
        <w:rPr>
          <w:rFonts w:ascii="宋体" w:hAnsi="宋体"/>
          <w:color w:val="auto"/>
          <w:sz w:val="24"/>
          <w:highlight w:val="none"/>
        </w:rPr>
      </w:pPr>
      <w:r>
        <w:rPr>
          <w:rFonts w:ascii="宋体" w:hAnsi="宋体"/>
          <w:color w:val="auto"/>
          <w:sz w:val="24"/>
          <w:highlight w:val="none"/>
        </w:rPr>
        <w:t>致：</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（采购人名称）</w:t>
      </w:r>
    </w:p>
    <w:p>
      <w:pPr>
        <w:pStyle w:val="2"/>
        <w:tabs>
          <w:tab w:val="left" w:pos="2026"/>
          <w:tab w:val="left" w:pos="3101"/>
          <w:tab w:val="left" w:pos="8808"/>
        </w:tabs>
        <w:ind w:right="221" w:firstLine="384"/>
        <w:rPr>
          <w:rFonts w:ascii="宋体" w:hAnsi="宋体"/>
          <w:color w:val="auto"/>
          <w:sz w:val="24"/>
          <w:highlight w:val="none"/>
        </w:rPr>
      </w:pPr>
      <w:r>
        <w:rPr>
          <w:rFonts w:ascii="宋体" w:hAnsi="宋体"/>
          <w:color w:val="auto"/>
          <w:w w:val="105"/>
          <w:sz w:val="24"/>
          <w:highlight w:val="none"/>
        </w:rPr>
        <w:t>本授权书声明：</w:t>
      </w:r>
      <w:r>
        <w:rPr>
          <w:rFonts w:ascii="宋体" w:hAnsi="宋体"/>
          <w:color w:val="auto"/>
          <w:w w:val="105"/>
          <w:sz w:val="24"/>
          <w:highlight w:val="none"/>
          <w:u w:val="single"/>
        </w:rPr>
        <w:t xml:space="preserve"> </w:t>
      </w:r>
      <w:r>
        <w:rPr>
          <w:rFonts w:ascii="宋体" w:hAnsi="宋体"/>
          <w:color w:val="auto"/>
          <w:w w:val="105"/>
          <w:sz w:val="24"/>
          <w:highlight w:val="none"/>
          <w:u w:val="single"/>
        </w:rPr>
        <w:tab/>
      </w:r>
      <w:r>
        <w:rPr>
          <w:rFonts w:ascii="宋体" w:hAnsi="宋体"/>
          <w:color w:val="auto"/>
          <w:sz w:val="24"/>
          <w:highlight w:val="none"/>
        </w:rPr>
        <w:t>是注册于</w:t>
      </w:r>
      <w:r>
        <w:rPr>
          <w:rFonts w:ascii="宋体" w:hAnsi="宋体"/>
          <w:color w:val="auto"/>
          <w:spacing w:val="-17"/>
          <w:sz w:val="24"/>
          <w:highlight w:val="none"/>
          <w:u w:val="single"/>
        </w:rPr>
        <w:t xml:space="preserve">   </w:t>
      </w:r>
      <w:r>
        <w:rPr>
          <w:rFonts w:ascii="宋体" w:hAnsi="宋体"/>
          <w:color w:val="auto"/>
          <w:sz w:val="24"/>
          <w:highlight w:val="none"/>
          <w:u w:val="single"/>
        </w:rPr>
        <w:t>（国家或地区）</w:t>
      </w:r>
      <w:r>
        <w:rPr>
          <w:rFonts w:ascii="宋体" w:hAnsi="宋体"/>
          <w:color w:val="auto"/>
          <w:sz w:val="24"/>
          <w:highlight w:val="none"/>
        </w:rPr>
        <w:t>的</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供应商</w:t>
      </w:r>
      <w:r>
        <w:rPr>
          <w:rFonts w:ascii="宋体" w:hAnsi="宋体"/>
          <w:color w:val="auto"/>
          <w:sz w:val="24"/>
          <w:highlight w:val="none"/>
          <w:u w:val="single"/>
        </w:rPr>
        <w:t>名称）</w:t>
      </w:r>
      <w:r>
        <w:rPr>
          <w:rFonts w:ascii="宋体" w:hAnsi="宋体"/>
          <w:color w:val="auto"/>
          <w:sz w:val="24"/>
          <w:highlight w:val="none"/>
        </w:rPr>
        <w:t>的法定代表人，现任</w:t>
      </w:r>
      <w:r>
        <w:rPr>
          <w:rFonts w:ascii="宋体" w:hAnsi="宋体"/>
          <w:color w:val="auto"/>
          <w:sz w:val="24"/>
          <w:highlight w:val="none"/>
          <w:u w:val="single"/>
        </w:rPr>
        <w:t xml:space="preserve"> </w:t>
      </w:r>
      <w:r>
        <w:rPr>
          <w:rFonts w:ascii="宋体" w:hAnsi="宋体"/>
          <w:color w:val="auto"/>
          <w:sz w:val="24"/>
          <w:highlight w:val="none"/>
          <w:u w:val="single"/>
        </w:rPr>
        <w:tab/>
      </w:r>
      <w:r>
        <w:rPr>
          <w:rFonts w:ascii="宋体" w:hAnsi="宋体"/>
          <w:color w:val="auto"/>
          <w:w w:val="110"/>
          <w:sz w:val="24"/>
          <w:highlight w:val="none"/>
        </w:rPr>
        <w:t>职务，有效证件号码：</w:t>
      </w:r>
      <w:r>
        <w:rPr>
          <w:rFonts w:ascii="宋体" w:hAnsi="宋体"/>
          <w:color w:val="auto"/>
          <w:w w:val="110"/>
          <w:sz w:val="24"/>
          <w:highlight w:val="none"/>
          <w:u w:val="single"/>
        </w:rPr>
        <w:t xml:space="preserve">        </w:t>
      </w:r>
      <w:r>
        <w:rPr>
          <w:rFonts w:ascii="宋体" w:hAnsi="宋体"/>
          <w:color w:val="auto"/>
          <w:sz w:val="24"/>
          <w:highlight w:val="none"/>
        </w:rPr>
        <w:t>。现授权</w:t>
      </w:r>
      <w:r>
        <w:rPr>
          <w:rFonts w:ascii="宋体" w:hAnsi="宋体"/>
          <w:color w:val="auto"/>
          <w:spacing w:val="8"/>
          <w:sz w:val="24"/>
          <w:highlight w:val="none"/>
          <w:u w:val="single"/>
        </w:rPr>
        <w:t xml:space="preserve"> </w:t>
      </w:r>
      <w:r>
        <w:rPr>
          <w:rFonts w:ascii="宋体" w:hAnsi="宋体"/>
          <w:color w:val="auto"/>
          <w:sz w:val="24"/>
          <w:highlight w:val="none"/>
          <w:u w:val="single"/>
        </w:rPr>
        <w:t>（姓名、职务）</w:t>
      </w:r>
      <w:r>
        <w:rPr>
          <w:rFonts w:ascii="宋体" w:hAnsi="宋体"/>
          <w:color w:val="auto"/>
          <w:sz w:val="24"/>
          <w:highlight w:val="none"/>
        </w:rPr>
        <w:t>作为我公司的全权代理人，就</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（项目名称）[项目编号： </w:t>
      </w:r>
      <w:r>
        <w:rPr>
          <w:rFonts w:ascii="宋体" w:hAnsi="宋体"/>
          <w:color w:val="auto"/>
          <w:sz w:val="24"/>
          <w:highlight w:val="none"/>
          <w:u w:val="single"/>
        </w:rPr>
        <w:t xml:space="preserve">        </w:t>
      </w:r>
      <w:r>
        <w:rPr>
          <w:rFonts w:hint="eastAsia" w:ascii="宋体" w:hAnsi="宋体"/>
          <w:color w:val="auto"/>
          <w:sz w:val="24"/>
          <w:highlight w:val="none"/>
          <w:u w:val="single"/>
        </w:rPr>
        <w:t>]</w:t>
      </w:r>
      <w:r>
        <w:rPr>
          <w:rFonts w:hint="eastAsia" w:ascii="宋体" w:hAnsi="宋体"/>
          <w:color w:val="auto"/>
          <w:sz w:val="24"/>
          <w:highlight w:val="none"/>
        </w:rPr>
        <w:t>的响应和合同执行，以我方的名义处理一切与之有关的事宜。</w:t>
      </w:r>
    </w:p>
    <w:p>
      <w:pPr>
        <w:pStyle w:val="2"/>
        <w:tabs>
          <w:tab w:val="left" w:pos="2026"/>
          <w:tab w:val="left" w:pos="3101"/>
          <w:tab w:val="left" w:pos="8808"/>
        </w:tabs>
        <w:ind w:right="221" w:firstLine="384"/>
        <w:rPr>
          <w:rFonts w:ascii="宋体" w:hAnsi="宋体"/>
          <w:color w:val="auto"/>
          <w:sz w:val="24"/>
          <w:highlight w:val="none"/>
        </w:rPr>
      </w:pPr>
      <w:r>
        <w:rPr>
          <w:rFonts w:ascii="宋体" w:hAnsi="宋体"/>
          <w:color w:val="auto"/>
          <w:sz w:val="24"/>
          <w:highlight w:val="none"/>
        </w:rPr>
        <w:t>本授权书于</w:t>
      </w:r>
      <w:r>
        <w:rPr>
          <w:rFonts w:ascii="宋体" w:hAnsi="宋体"/>
          <w:color w:val="auto"/>
          <w:sz w:val="24"/>
          <w:highlight w:val="none"/>
          <w:u w:val="single"/>
        </w:rPr>
        <w:t xml:space="preserve"> </w:t>
      </w:r>
      <w:r>
        <w:rPr>
          <w:rFonts w:ascii="宋体" w:hAnsi="宋体"/>
          <w:color w:val="auto"/>
          <w:sz w:val="24"/>
          <w:highlight w:val="none"/>
          <w:u w:val="single"/>
        </w:rPr>
        <w:tab/>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ascii="宋体" w:hAnsi="宋体"/>
          <w:color w:val="auto"/>
          <w:sz w:val="24"/>
          <w:highlight w:val="none"/>
        </w:rPr>
        <w:t>日签字生效，特此声明。</w:t>
      </w:r>
    </w:p>
    <w:p>
      <w:pPr>
        <w:pStyle w:val="356"/>
        <w:ind w:firstLine="0" w:firstLineChars="0"/>
        <w:rPr>
          <w:color w:val="auto"/>
          <w:highlight w:val="none"/>
          <w:lang w:eastAsia="zh-CN"/>
        </w:rPr>
      </w:pPr>
    </w:p>
    <w:p>
      <w:pPr>
        <w:ind w:left="3518" w:leftChars="1675"/>
        <w:jc w:val="right"/>
        <w:rPr>
          <w:rFonts w:ascii="宋体" w:hAnsi="宋体"/>
          <w:color w:val="auto"/>
          <w:sz w:val="24"/>
          <w:highlight w:val="none"/>
        </w:rPr>
      </w:pPr>
      <w:r>
        <w:rPr>
          <w:rFonts w:hint="eastAsia" w:ascii="宋体" w:hAnsi="宋体"/>
          <w:color w:val="auto"/>
          <w:sz w:val="24"/>
          <w:highlight w:val="none"/>
        </w:rPr>
        <w:t>供应商名称（盖章）：</w:t>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w:t>
      </w:r>
      <w:r>
        <w:rPr>
          <w:rFonts w:hint="eastAsia" w:ascii="宋体" w:hAnsi="宋体"/>
          <w:color w:val="auto"/>
          <w:sz w:val="24"/>
          <w:highlight w:val="none"/>
        </w:rPr>
        <w:t xml:space="preserve"> </w:t>
      </w:r>
    </w:p>
    <w:p>
      <w:pPr>
        <w:ind w:left="3518" w:leftChars="1675"/>
        <w:jc w:val="right"/>
        <w:rPr>
          <w:rFonts w:ascii="宋体" w:hAnsi="宋体"/>
          <w:color w:val="auto"/>
          <w:sz w:val="24"/>
          <w:highlight w:val="none"/>
        </w:rPr>
      </w:pPr>
      <w:r>
        <w:rPr>
          <w:rFonts w:hint="eastAsia" w:ascii="宋体" w:hAnsi="宋体"/>
          <w:color w:val="auto"/>
          <w:sz w:val="24"/>
          <w:highlight w:val="none"/>
        </w:rPr>
        <w:t>地址：</w:t>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w:t>
      </w:r>
      <w:r>
        <w:rPr>
          <w:rFonts w:hint="eastAsia" w:ascii="宋体" w:hAnsi="宋体"/>
          <w:color w:val="auto"/>
          <w:sz w:val="24"/>
          <w:highlight w:val="none"/>
        </w:rPr>
        <w:t xml:space="preserve"> </w:t>
      </w:r>
    </w:p>
    <w:p>
      <w:pPr>
        <w:jc w:val="right"/>
        <w:rPr>
          <w:rFonts w:ascii="宋体" w:hAnsi="宋体"/>
          <w:color w:val="auto"/>
          <w:sz w:val="24"/>
          <w:highlight w:val="none"/>
        </w:rPr>
      </w:pPr>
      <w:r>
        <w:rPr>
          <w:rFonts w:hint="eastAsia" w:ascii="宋体" w:hAnsi="宋体"/>
          <w:color w:val="auto"/>
          <w:sz w:val="24"/>
          <w:highlight w:val="none"/>
        </w:rPr>
        <w:t>法定代表人（签字或盖章）：</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w:t>
      </w:r>
      <w:r>
        <w:rPr>
          <w:rFonts w:hint="eastAsia" w:ascii="宋体" w:hAnsi="宋体"/>
          <w:color w:val="auto"/>
          <w:sz w:val="24"/>
          <w:highlight w:val="none"/>
          <w:u w:val="single"/>
        </w:rPr>
        <w:t xml:space="preserve"> </w:t>
      </w:r>
    </w:p>
    <w:p>
      <w:pPr>
        <w:ind w:left="3518" w:leftChars="1675"/>
        <w:jc w:val="right"/>
        <w:rPr>
          <w:rFonts w:ascii="宋体" w:hAnsi="宋体"/>
          <w:color w:val="auto"/>
          <w:sz w:val="24"/>
          <w:highlight w:val="none"/>
        </w:rPr>
      </w:pPr>
      <w:r>
        <w:rPr>
          <w:rFonts w:hint="eastAsia" w:ascii="宋体" w:hAnsi="宋体"/>
          <w:color w:val="auto"/>
          <w:sz w:val="24"/>
          <w:highlight w:val="none"/>
        </w:rPr>
        <w:t>职务：</w:t>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w:t>
      </w:r>
      <w:r>
        <w:rPr>
          <w:rFonts w:hint="eastAsia" w:ascii="宋体" w:hAnsi="宋体"/>
          <w:color w:val="auto"/>
          <w:sz w:val="24"/>
          <w:highlight w:val="none"/>
        </w:rPr>
        <w:t xml:space="preserve"> </w:t>
      </w:r>
    </w:p>
    <w:p>
      <w:pPr>
        <w:jc w:val="right"/>
        <w:rPr>
          <w:rFonts w:ascii="宋体" w:hAnsi="宋体"/>
          <w:color w:val="auto"/>
          <w:sz w:val="24"/>
          <w:highlight w:val="none"/>
        </w:rPr>
      </w:pPr>
      <w:r>
        <w:rPr>
          <w:rFonts w:hint="eastAsia" w:ascii="宋体" w:hAnsi="宋体"/>
          <w:color w:val="auto"/>
          <w:sz w:val="24"/>
          <w:highlight w:val="none"/>
        </w:rPr>
        <w:t>被授权人（签字或盖章）：</w:t>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w:t>
      </w:r>
      <w:r>
        <w:rPr>
          <w:rFonts w:hint="eastAsia" w:ascii="宋体" w:hAnsi="宋体"/>
          <w:color w:val="auto"/>
          <w:sz w:val="24"/>
          <w:highlight w:val="none"/>
        </w:rPr>
        <w:t xml:space="preserve"> </w:t>
      </w:r>
    </w:p>
    <w:p>
      <w:pPr>
        <w:ind w:left="3518" w:leftChars="1675"/>
        <w:jc w:val="right"/>
        <w:rPr>
          <w:rFonts w:ascii="宋体" w:hAnsi="宋体"/>
          <w:color w:val="auto"/>
          <w:sz w:val="24"/>
          <w:highlight w:val="none"/>
        </w:rPr>
      </w:pPr>
      <w:r>
        <w:rPr>
          <w:rFonts w:hint="eastAsia" w:ascii="宋体" w:hAnsi="宋体"/>
          <w:color w:val="auto"/>
          <w:sz w:val="24"/>
          <w:highlight w:val="none"/>
        </w:rPr>
        <w:t>职务：</w:t>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w:t>
      </w:r>
      <w:r>
        <w:rPr>
          <w:rFonts w:hint="eastAsia" w:ascii="宋体" w:hAnsi="宋体"/>
          <w:color w:val="auto"/>
          <w:sz w:val="24"/>
          <w:highlight w:val="none"/>
        </w:rPr>
        <w:t xml:space="preserve"> </w:t>
      </w:r>
    </w:p>
    <w:p>
      <w:pPr>
        <w:jc w:val="right"/>
        <w:rPr>
          <w:rFonts w:ascii="宋体" w:hAnsi="宋体"/>
          <w:color w:val="auto"/>
          <w:sz w:val="24"/>
          <w:highlight w:val="none"/>
        </w:rPr>
      </w:pPr>
      <w:r>
        <w:rPr>
          <w:rFonts w:hint="eastAsia" w:ascii="宋体" w:hAnsi="宋体"/>
          <w:color w:val="auto"/>
          <w:sz w:val="24"/>
          <w:highlight w:val="none"/>
        </w:rPr>
        <w:t>日期：</w:t>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rPr>
          <w:rFonts w:ascii="宋体" w:hAnsi="宋体"/>
          <w:b/>
          <w:color w:val="auto"/>
          <w:szCs w:val="21"/>
          <w:highlight w:val="none"/>
        </w:rPr>
      </w:pPr>
    </w:p>
    <w:tbl>
      <w:tblPr>
        <w:tblStyle w:val="46"/>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jc w:val="center"/>
              <w:rPr>
                <w:rFonts w:ascii="宋体" w:hAnsi="宋体"/>
                <w:color w:val="auto"/>
                <w:sz w:val="24"/>
                <w:highlight w:val="none"/>
              </w:rPr>
            </w:pPr>
            <w:r>
              <w:rPr>
                <w:rFonts w:hint="eastAsia" w:ascii="宋体" w:hAnsi="宋体"/>
                <w:color w:val="auto"/>
                <w:sz w:val="24"/>
                <w:highlight w:val="none"/>
              </w:rPr>
              <w:t>被授权人身份证复印件</w:t>
            </w:r>
          </w:p>
          <w:p>
            <w:pPr>
              <w:jc w:val="center"/>
              <w:rPr>
                <w:rFonts w:ascii="宋体" w:hAnsi="宋体"/>
                <w:color w:val="auto"/>
                <w:highlight w:val="none"/>
              </w:rPr>
            </w:pPr>
            <w:r>
              <w:rPr>
                <w:rFonts w:hint="eastAsia" w:ascii="宋体" w:hAnsi="宋体"/>
                <w:color w:val="auto"/>
                <w:sz w:val="24"/>
                <w:highlight w:val="none"/>
              </w:rPr>
              <w:t>（正、反</w:t>
            </w:r>
            <w:r>
              <w:rPr>
                <w:rFonts w:ascii="宋体" w:hAnsi="宋体"/>
                <w:color w:val="auto"/>
                <w:sz w:val="24"/>
                <w:highlight w:val="none"/>
              </w:rPr>
              <w:t>两面</w:t>
            </w:r>
            <w:r>
              <w:rPr>
                <w:rFonts w:hint="eastAsia" w:ascii="宋体" w:hAnsi="宋体"/>
                <w:color w:val="auto"/>
                <w:sz w:val="24"/>
                <w:highlight w:val="none"/>
              </w:rPr>
              <w:t>）</w:t>
            </w:r>
          </w:p>
        </w:tc>
      </w:tr>
    </w:tbl>
    <w:p>
      <w:pPr>
        <w:rPr>
          <w:rFonts w:ascii="宋体" w:hAnsi="宋体"/>
          <w:b/>
          <w:bCs/>
          <w:color w:val="auto"/>
          <w:szCs w:val="22"/>
          <w:highlight w:val="none"/>
        </w:rPr>
      </w:pPr>
      <w:r>
        <w:rPr>
          <w:rFonts w:hint="eastAsia" w:ascii="宋体" w:hAnsi="宋体"/>
          <w:b/>
          <w:bCs/>
          <w:color w:val="auto"/>
          <w:szCs w:val="22"/>
          <w:highlight w:val="none"/>
        </w:rPr>
        <w:t>说明：</w:t>
      </w:r>
    </w:p>
    <w:p>
      <w:pPr>
        <w:rPr>
          <w:rFonts w:ascii="宋体" w:hAnsi="宋体"/>
          <w:b/>
          <w:bCs/>
          <w:color w:val="auto"/>
          <w:szCs w:val="22"/>
          <w:highlight w:val="none"/>
        </w:rPr>
      </w:pPr>
      <w:r>
        <w:rPr>
          <w:rFonts w:hint="eastAsia" w:ascii="宋体" w:hAnsi="宋体"/>
          <w:b/>
          <w:bCs/>
          <w:color w:val="auto"/>
          <w:szCs w:val="22"/>
          <w:highlight w:val="none"/>
        </w:rPr>
        <w:t>1.响应代表为法定代表人，则本表不需提供。</w:t>
      </w:r>
    </w:p>
    <w:p>
      <w:pPr>
        <w:rPr>
          <w:rFonts w:ascii="宋体" w:hAnsi="宋体"/>
          <w:b/>
          <w:color w:val="auto"/>
          <w:sz w:val="28"/>
          <w:szCs w:val="28"/>
          <w:highlight w:val="none"/>
        </w:rPr>
      </w:pPr>
      <w:r>
        <w:rPr>
          <w:rFonts w:ascii="宋体" w:hAnsi="宋体"/>
          <w:b/>
          <w:bCs/>
          <w:color w:val="auto"/>
          <w:szCs w:val="22"/>
          <w:highlight w:val="none"/>
        </w:rPr>
        <w:t>2</w:t>
      </w:r>
      <w:r>
        <w:rPr>
          <w:rFonts w:hint="eastAsia" w:ascii="宋体" w:hAnsi="宋体"/>
          <w:b/>
          <w:bCs/>
          <w:color w:val="auto"/>
          <w:szCs w:val="22"/>
          <w:highlight w:val="none"/>
        </w:rPr>
        <w:t>.响应代表为法定代表人授权委托人的，须提供被授权人身份证复印件，否则作无效响应处理。</w:t>
      </w:r>
      <w:r>
        <w:rPr>
          <w:rFonts w:ascii="宋体" w:hAnsi="宋体"/>
          <w:b/>
          <w:color w:val="auto"/>
          <w:sz w:val="28"/>
          <w:szCs w:val="28"/>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138" w:name="_Toc102936923"/>
      <w:bookmarkStart w:id="139" w:name="_Toc103033238"/>
      <w:bookmarkStart w:id="140" w:name="_Toc104040707"/>
      <w:r>
        <w:rPr>
          <w:rFonts w:hint="eastAsia" w:ascii="宋体" w:hAnsi="宋体"/>
          <w:color w:val="auto"/>
          <w:szCs w:val="24"/>
          <w:highlight w:val="none"/>
        </w:rPr>
        <w:t>提供具有独立承担民事责任的能力的证明材料</w:t>
      </w:r>
      <w:bookmarkEnd w:id="138"/>
      <w:bookmarkEnd w:id="139"/>
      <w:bookmarkEnd w:id="140"/>
    </w:p>
    <w:p>
      <w:pPr>
        <w:rPr>
          <w:rFonts w:ascii="宋体" w:hAnsi="宋体" w:cs="宋体"/>
          <w:i/>
          <w:iCs/>
          <w:color w:val="auto"/>
          <w:szCs w:val="21"/>
          <w:highlight w:val="none"/>
        </w:rPr>
      </w:pPr>
      <w:r>
        <w:rPr>
          <w:rFonts w:hint="eastAsia" w:ascii="宋体" w:hAnsi="宋体" w:cs="宋体"/>
          <w:i/>
          <w:iCs/>
          <w:color w:val="auto"/>
          <w:szCs w:val="21"/>
          <w:highlight w:val="none"/>
        </w:rPr>
        <w:t>（按照采购文件的资格要求提供相关材料）</w:t>
      </w:r>
    </w:p>
    <w:p>
      <w:pPr>
        <w:pStyle w:val="4"/>
        <w:keepNext w:val="0"/>
        <w:keepLines w:val="0"/>
        <w:numPr>
          <w:ilvl w:val="0"/>
          <w:numId w:val="27"/>
        </w:numPr>
        <w:spacing w:before="120" w:after="120" w:line="240" w:lineRule="auto"/>
        <w:rPr>
          <w:rFonts w:ascii="宋体" w:hAnsi="宋体"/>
          <w:color w:val="auto"/>
          <w:szCs w:val="24"/>
          <w:highlight w:val="none"/>
        </w:rPr>
      </w:pPr>
      <w:bookmarkStart w:id="141" w:name="_Toc104040711"/>
      <w:r>
        <w:rPr>
          <w:rFonts w:hint="eastAsia" w:ascii="宋体" w:hAnsi="宋体"/>
          <w:color w:val="auto"/>
          <w:szCs w:val="24"/>
          <w:highlight w:val="none"/>
        </w:rPr>
        <w:t>关于资格的声明函</w:t>
      </w:r>
      <w:bookmarkEnd w:id="141"/>
    </w:p>
    <w:p>
      <w:pPr>
        <w:jc w:val="center"/>
        <w:rPr>
          <w:rFonts w:ascii="宋体" w:hAnsi="宋体" w:cs="宋体"/>
          <w:b/>
          <w:bCs/>
          <w:color w:val="auto"/>
          <w:sz w:val="28"/>
          <w:szCs w:val="22"/>
          <w:highlight w:val="none"/>
        </w:rPr>
      </w:pPr>
      <w:r>
        <w:rPr>
          <w:rFonts w:hint="eastAsia" w:ascii="宋体" w:hAnsi="宋体" w:cs="宋体"/>
          <w:b/>
          <w:bCs/>
          <w:color w:val="auto"/>
          <w:sz w:val="28"/>
          <w:szCs w:val="22"/>
          <w:highlight w:val="none"/>
        </w:rPr>
        <w:t>关于资格的声明函</w:t>
      </w:r>
    </w:p>
    <w:p>
      <w:pPr>
        <w:pStyle w:val="356"/>
        <w:spacing w:line="400" w:lineRule="exact"/>
        <w:ind w:firstLine="0" w:firstLineChars="0"/>
        <w:rPr>
          <w:color w:val="auto"/>
          <w:highlight w:val="none"/>
          <w:lang w:eastAsia="zh-CN"/>
        </w:rPr>
      </w:pPr>
      <w:r>
        <w:rPr>
          <w:rFonts w:hint="eastAsia"/>
          <w:color w:val="auto"/>
          <w:highlight w:val="none"/>
          <w:lang w:eastAsia="zh-CN"/>
        </w:rPr>
        <w:t>致：</w:t>
      </w:r>
      <w:r>
        <w:rPr>
          <w:rFonts w:hint="eastAsia"/>
          <w:color w:val="auto"/>
          <w:highlight w:val="none"/>
          <w:u w:val="single"/>
        </w:rPr>
        <w:t xml:space="preserve">      （采购人名称）</w:t>
      </w:r>
    </w:p>
    <w:p>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你方组织的</w:t>
      </w:r>
      <w:r>
        <w:rPr>
          <w:rFonts w:ascii="宋体" w:hAnsi="宋体"/>
          <w:color w:val="auto"/>
          <w:sz w:val="24"/>
          <w:highlight w:val="none"/>
          <w:u w:val="single"/>
        </w:rPr>
        <w:t xml:space="preserve">        （项目名称）</w:t>
      </w:r>
      <w:r>
        <w:rPr>
          <w:rFonts w:ascii="宋体" w:hAnsi="宋体"/>
          <w:color w:val="auto"/>
          <w:sz w:val="24"/>
          <w:highlight w:val="none"/>
        </w:rPr>
        <w:t>[项目编号：</w:t>
      </w:r>
      <w:r>
        <w:rPr>
          <w:rFonts w:ascii="宋体" w:hAnsi="宋体"/>
          <w:color w:val="auto"/>
          <w:sz w:val="24"/>
          <w:highlight w:val="none"/>
          <w:u w:val="single"/>
        </w:rPr>
        <w:t xml:space="preserve">           </w:t>
      </w:r>
      <w:r>
        <w:rPr>
          <w:rFonts w:ascii="宋体" w:hAnsi="宋体"/>
          <w:color w:val="auto"/>
          <w:sz w:val="24"/>
          <w:highlight w:val="none"/>
        </w:rPr>
        <w:t>]的</w:t>
      </w:r>
      <w:r>
        <w:rPr>
          <w:rFonts w:hint="eastAsia" w:ascii="宋体" w:hAnsi="宋体"/>
          <w:color w:val="auto"/>
          <w:sz w:val="24"/>
          <w:highlight w:val="none"/>
        </w:rPr>
        <w:t>采购</w:t>
      </w:r>
      <w:r>
        <w:rPr>
          <w:rFonts w:ascii="宋体" w:hAnsi="宋体"/>
          <w:color w:val="auto"/>
          <w:sz w:val="24"/>
          <w:highlight w:val="none"/>
        </w:rPr>
        <w:t>，我方</w:t>
      </w:r>
      <w:r>
        <w:rPr>
          <w:rFonts w:hint="eastAsia" w:ascii="宋体" w:hAnsi="宋体"/>
          <w:color w:val="auto"/>
          <w:sz w:val="24"/>
          <w:highlight w:val="none"/>
        </w:rPr>
        <w:t>愿意</w:t>
      </w:r>
      <w:r>
        <w:rPr>
          <w:rFonts w:ascii="宋体" w:hAnsi="宋体"/>
          <w:color w:val="auto"/>
          <w:sz w:val="24"/>
          <w:highlight w:val="none"/>
        </w:rPr>
        <w:t>参与</w:t>
      </w:r>
      <w:r>
        <w:rPr>
          <w:rFonts w:hint="eastAsia" w:ascii="宋体" w:hAnsi="宋体"/>
          <w:color w:val="auto"/>
          <w:sz w:val="24"/>
          <w:highlight w:val="none"/>
        </w:rPr>
        <w:t>响应，并就资格要求进行如下声明：</w:t>
      </w:r>
    </w:p>
    <w:p>
      <w:pPr>
        <w:spacing w:line="400" w:lineRule="exact"/>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我方具备以下</w:t>
      </w:r>
      <w:r>
        <w:rPr>
          <w:rFonts w:ascii="宋体" w:hAnsi="宋体"/>
          <w:color w:val="auto"/>
          <w:sz w:val="24"/>
          <w:highlight w:val="none"/>
        </w:rPr>
        <w:t>条件</w:t>
      </w:r>
      <w:r>
        <w:rPr>
          <w:rFonts w:hint="eastAsia" w:ascii="宋体" w:hAnsi="宋体"/>
          <w:color w:val="auto"/>
          <w:sz w:val="24"/>
          <w:highlight w:val="none"/>
        </w:rPr>
        <w:t>：</w:t>
      </w:r>
      <w:r>
        <w:rPr>
          <w:rFonts w:ascii="宋体" w:hAnsi="宋体"/>
          <w:color w:val="auto"/>
          <w:sz w:val="24"/>
          <w:highlight w:val="none"/>
        </w:rPr>
        <w:t xml:space="preserve"> </w:t>
      </w:r>
    </w:p>
    <w:p>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1.</w:t>
      </w:r>
      <w:bookmarkStart w:id="142" w:name="_Hlk24378204"/>
      <w:r>
        <w:rPr>
          <w:rFonts w:ascii="宋体" w:hAnsi="宋体"/>
          <w:color w:val="auto"/>
          <w:sz w:val="24"/>
          <w:highlight w:val="none"/>
        </w:rPr>
        <w:t xml:space="preserve">1 </w:t>
      </w:r>
      <w:r>
        <w:rPr>
          <w:rFonts w:hint="eastAsia" w:ascii="宋体" w:hAnsi="宋体"/>
          <w:color w:val="auto"/>
          <w:sz w:val="24"/>
          <w:highlight w:val="none"/>
        </w:rPr>
        <w:t>有</w:t>
      </w:r>
      <w:bookmarkStart w:id="143" w:name="_Hlk24380227"/>
      <w:r>
        <w:rPr>
          <w:rFonts w:hint="eastAsia" w:ascii="宋体" w:hAnsi="宋体"/>
          <w:color w:val="auto"/>
          <w:sz w:val="24"/>
          <w:highlight w:val="none"/>
        </w:rPr>
        <w:t>依法缴纳税收和社会保障资金的良好记录</w:t>
      </w:r>
      <w:bookmarkEnd w:id="143"/>
      <w:r>
        <w:rPr>
          <w:rFonts w:hint="eastAsia" w:ascii="宋体" w:hAnsi="宋体"/>
          <w:color w:val="auto"/>
          <w:sz w:val="24"/>
          <w:highlight w:val="none"/>
        </w:rPr>
        <w:t>；</w:t>
      </w:r>
    </w:p>
    <w:p>
      <w:pPr>
        <w:spacing w:line="400" w:lineRule="exact"/>
        <w:ind w:firstLine="480" w:firstLineChars="200"/>
        <w:rPr>
          <w:rFonts w:ascii="宋体" w:hAnsi="宋体"/>
          <w:color w:val="auto"/>
          <w:sz w:val="24"/>
          <w:highlight w:val="none"/>
        </w:rPr>
      </w:pPr>
      <w:r>
        <w:rPr>
          <w:rFonts w:ascii="宋体" w:hAnsi="宋体"/>
          <w:color w:val="auto"/>
          <w:sz w:val="24"/>
          <w:highlight w:val="none"/>
        </w:rPr>
        <w:t xml:space="preserve">1.2 </w:t>
      </w:r>
      <w:r>
        <w:rPr>
          <w:rFonts w:hint="eastAsia" w:ascii="宋体" w:hAnsi="宋体"/>
          <w:color w:val="auto"/>
          <w:sz w:val="24"/>
          <w:highlight w:val="none"/>
        </w:rPr>
        <w:t>具有良好的商业信誉和健全的财务会计制度；</w:t>
      </w:r>
      <w:bookmarkEnd w:id="142"/>
    </w:p>
    <w:p>
      <w:pPr>
        <w:spacing w:line="400" w:lineRule="exact"/>
        <w:ind w:firstLine="480" w:firstLineChars="200"/>
        <w:rPr>
          <w:rFonts w:ascii="宋体" w:hAnsi="宋体"/>
          <w:color w:val="auto"/>
          <w:sz w:val="24"/>
          <w:highlight w:val="none"/>
        </w:rPr>
      </w:pPr>
      <w:r>
        <w:rPr>
          <w:rFonts w:ascii="宋体" w:hAnsi="宋体"/>
          <w:color w:val="auto"/>
          <w:sz w:val="24"/>
          <w:highlight w:val="none"/>
        </w:rPr>
        <w:t xml:space="preserve">1.3 </w:t>
      </w:r>
      <w:r>
        <w:rPr>
          <w:rFonts w:hint="eastAsia" w:ascii="宋体" w:hAnsi="宋体"/>
          <w:color w:val="auto"/>
          <w:sz w:val="24"/>
          <w:highlight w:val="none"/>
        </w:rPr>
        <w:t>具有履行合同所必需的设备和专业技术能力；</w:t>
      </w:r>
    </w:p>
    <w:p>
      <w:pPr>
        <w:spacing w:line="400" w:lineRule="exact"/>
        <w:ind w:firstLine="480" w:firstLineChars="200"/>
        <w:rPr>
          <w:rFonts w:ascii="宋体" w:hAnsi="宋体"/>
          <w:color w:val="auto"/>
          <w:sz w:val="24"/>
          <w:highlight w:val="none"/>
        </w:rPr>
      </w:pPr>
      <w:r>
        <w:rPr>
          <w:rFonts w:ascii="宋体" w:hAnsi="宋体"/>
          <w:color w:val="auto"/>
          <w:sz w:val="24"/>
          <w:highlight w:val="none"/>
        </w:rPr>
        <w:t xml:space="preserve">1.4 </w:t>
      </w:r>
      <w:r>
        <w:rPr>
          <w:rFonts w:hint="eastAsia" w:ascii="宋体" w:hAnsi="宋体"/>
          <w:color w:val="auto"/>
          <w:sz w:val="24"/>
          <w:highlight w:val="none"/>
        </w:rPr>
        <w:t>参加采购活动前3年内，在经营活动中没有重大违法记录：重大违法记录，是指供应商因违法经营受到刑事处罚或者责令停产停业、吊销许可证或者执照、较大数额罚款等行政处罚。（根据财库〔</w:t>
      </w:r>
      <w:r>
        <w:rPr>
          <w:rFonts w:ascii="宋体" w:hAnsi="宋体"/>
          <w:color w:val="auto"/>
          <w:sz w:val="24"/>
          <w:highlight w:val="none"/>
        </w:rPr>
        <w:t>2022〕3号文，“较大数额罚款”认定为200万元以上的罚款，法律、行政法规以及国务院有关部门明确规定相关领域“较大数额罚款”标准高于200万元的，从其规定。</w:t>
      </w:r>
      <w:r>
        <w:rPr>
          <w:rFonts w:hint="eastAsia" w:ascii="宋体" w:hAnsi="宋体"/>
          <w:color w:val="auto"/>
          <w:sz w:val="24"/>
          <w:highlight w:val="none"/>
        </w:rPr>
        <w:t>）</w:t>
      </w:r>
    </w:p>
    <w:p>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.我方符合法律、行政法规规定的其他条件</w:t>
      </w:r>
      <w:r>
        <w:rPr>
          <w:rFonts w:hint="eastAsia" w:ascii="宋体" w:hAnsi="宋体"/>
          <w:color w:val="auto"/>
          <w:sz w:val="24"/>
          <w:highlight w:val="none"/>
        </w:rPr>
        <w:t>：</w:t>
      </w:r>
    </w:p>
    <w:p>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（1）我方与其他投标人不存在单位负责人为同一人或者存在直接控股、管理关系。</w:t>
      </w:r>
    </w:p>
    <w:p>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（2）我方声明未为本项目提供整体设计、规范编制或者项目管理、监理等服务。</w:t>
      </w:r>
    </w:p>
    <w:p>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本</w:t>
      </w:r>
      <w:r>
        <w:rPr>
          <w:rFonts w:ascii="宋体" w:hAnsi="宋体"/>
          <w:color w:val="auto"/>
          <w:sz w:val="24"/>
          <w:highlight w:val="none"/>
        </w:rPr>
        <w:t>单位</w:t>
      </w:r>
      <w:r>
        <w:rPr>
          <w:rFonts w:hint="eastAsia" w:ascii="宋体" w:hAnsi="宋体"/>
          <w:color w:val="auto"/>
          <w:sz w:val="24"/>
          <w:highlight w:val="none"/>
        </w:rPr>
        <w:t>声明在本次采购</w:t>
      </w:r>
      <w:r>
        <w:rPr>
          <w:rFonts w:ascii="宋体" w:hAnsi="宋体"/>
          <w:color w:val="auto"/>
          <w:sz w:val="24"/>
          <w:highlight w:val="none"/>
        </w:rPr>
        <w:t>活动中</w:t>
      </w:r>
      <w:r>
        <w:rPr>
          <w:rFonts w:hint="eastAsia" w:ascii="宋体" w:hAnsi="宋体"/>
          <w:color w:val="auto"/>
          <w:sz w:val="24"/>
          <w:highlight w:val="none"/>
        </w:rPr>
        <w:t>如有</w:t>
      </w:r>
      <w:r>
        <w:rPr>
          <w:rFonts w:ascii="宋体" w:hAnsi="宋体"/>
          <w:color w:val="auto"/>
          <w:sz w:val="24"/>
          <w:highlight w:val="none"/>
        </w:rPr>
        <w:t>违法、</w:t>
      </w:r>
      <w:r>
        <w:rPr>
          <w:rFonts w:hint="eastAsia" w:ascii="宋体" w:hAnsi="宋体"/>
          <w:color w:val="auto"/>
          <w:sz w:val="24"/>
          <w:highlight w:val="none"/>
        </w:rPr>
        <w:t>违规、弄虚作假</w:t>
      </w:r>
      <w:r>
        <w:rPr>
          <w:rFonts w:ascii="宋体" w:hAnsi="宋体"/>
          <w:color w:val="auto"/>
          <w:sz w:val="24"/>
          <w:highlight w:val="none"/>
        </w:rPr>
        <w:t>行为</w:t>
      </w:r>
      <w:r>
        <w:rPr>
          <w:rFonts w:hint="eastAsia" w:ascii="宋体" w:hAnsi="宋体"/>
          <w:color w:val="auto"/>
          <w:sz w:val="24"/>
          <w:highlight w:val="none"/>
        </w:rPr>
        <w:t>，所</w:t>
      </w:r>
      <w:r>
        <w:rPr>
          <w:rFonts w:ascii="宋体" w:hAnsi="宋体"/>
          <w:color w:val="auto"/>
          <w:sz w:val="24"/>
          <w:highlight w:val="none"/>
        </w:rPr>
        <w:t>造成的损失</w:t>
      </w:r>
      <w:r>
        <w:rPr>
          <w:rFonts w:hint="eastAsia" w:ascii="宋体" w:hAnsi="宋体"/>
          <w:color w:val="auto"/>
          <w:sz w:val="24"/>
          <w:highlight w:val="none"/>
        </w:rPr>
        <w:t>、</w:t>
      </w:r>
      <w:r>
        <w:rPr>
          <w:rFonts w:ascii="宋体" w:hAnsi="宋体"/>
          <w:color w:val="auto"/>
          <w:sz w:val="24"/>
          <w:highlight w:val="none"/>
        </w:rPr>
        <w:t>不良</w:t>
      </w:r>
      <w:r>
        <w:rPr>
          <w:rFonts w:hint="eastAsia" w:ascii="宋体" w:hAnsi="宋体"/>
          <w:color w:val="auto"/>
          <w:sz w:val="24"/>
          <w:highlight w:val="none"/>
        </w:rPr>
        <w:t>后果及</w:t>
      </w:r>
      <w:r>
        <w:rPr>
          <w:rFonts w:ascii="宋体" w:hAnsi="宋体"/>
          <w:color w:val="auto"/>
          <w:sz w:val="24"/>
          <w:highlight w:val="none"/>
        </w:rPr>
        <w:t>法律责任</w:t>
      </w:r>
      <w:r>
        <w:rPr>
          <w:rFonts w:hint="eastAsia" w:ascii="宋体" w:hAnsi="宋体"/>
          <w:color w:val="auto"/>
          <w:sz w:val="24"/>
          <w:highlight w:val="none"/>
        </w:rPr>
        <w:t>，</w:t>
      </w:r>
      <w:r>
        <w:rPr>
          <w:rFonts w:ascii="宋体" w:hAnsi="宋体"/>
          <w:color w:val="auto"/>
          <w:sz w:val="24"/>
          <w:highlight w:val="none"/>
        </w:rPr>
        <w:t>一律由</w:t>
      </w:r>
      <w:r>
        <w:rPr>
          <w:rFonts w:hint="eastAsia" w:ascii="宋体" w:hAnsi="宋体"/>
          <w:color w:val="auto"/>
          <w:sz w:val="24"/>
          <w:highlight w:val="none"/>
        </w:rPr>
        <w:t>我方</w:t>
      </w:r>
      <w:r>
        <w:rPr>
          <w:rFonts w:ascii="宋体" w:hAnsi="宋体"/>
          <w:color w:val="auto"/>
          <w:sz w:val="24"/>
          <w:highlight w:val="none"/>
        </w:rPr>
        <w:t>承担。</w:t>
      </w:r>
    </w:p>
    <w:p>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特此声明</w:t>
      </w:r>
      <w:r>
        <w:rPr>
          <w:rFonts w:ascii="宋体" w:hAnsi="宋体"/>
          <w:color w:val="auto"/>
          <w:sz w:val="24"/>
          <w:highlight w:val="none"/>
        </w:rPr>
        <w:t>！</w:t>
      </w:r>
    </w:p>
    <w:p>
      <w:pPr>
        <w:pStyle w:val="45"/>
        <w:ind w:firstLine="480"/>
        <w:jc w:val="right"/>
        <w:rPr>
          <w:color w:val="auto"/>
          <w:sz w:val="24"/>
          <w:szCs w:val="32"/>
          <w:highlight w:val="none"/>
        </w:rPr>
      </w:pPr>
    </w:p>
    <w:p>
      <w:pPr>
        <w:pStyle w:val="356"/>
        <w:spacing w:line="480" w:lineRule="auto"/>
        <w:ind w:firstLine="0" w:firstLineChars="0"/>
        <w:jc w:val="right"/>
        <w:rPr>
          <w:color w:val="auto"/>
          <w:highlight w:val="none"/>
          <w:lang w:eastAsia="zh-CN"/>
        </w:rPr>
      </w:pPr>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pStyle w:val="356"/>
        <w:spacing w:line="480" w:lineRule="auto"/>
        <w:ind w:firstLine="4960" w:firstLineChars="2067"/>
        <w:jc w:val="right"/>
        <w:rPr>
          <w:color w:val="auto"/>
          <w:highlight w:val="none"/>
          <w:lang w:eastAsia="zh-CN"/>
        </w:rPr>
      </w:pPr>
      <w:r>
        <w:rPr>
          <w:rFonts w:hint="eastAsia"/>
          <w:color w:val="auto"/>
          <w:highlight w:val="none"/>
          <w:lang w:eastAsia="zh-CN"/>
        </w:rPr>
        <w:t>日期：</w:t>
      </w:r>
      <w:r>
        <w:rPr>
          <w:color w:val="auto"/>
          <w:highlight w:val="none"/>
          <w:u w:val="single"/>
          <w:lang w:eastAsia="zh-CN"/>
        </w:rPr>
        <w:t xml:space="preserve">     </w:t>
      </w:r>
      <w:r>
        <w:rPr>
          <w:color w:val="auto"/>
          <w:highlight w:val="none"/>
          <w:lang w:eastAsia="zh-CN"/>
        </w:rPr>
        <w:t>年</w:t>
      </w:r>
      <w:r>
        <w:rPr>
          <w:color w:val="auto"/>
          <w:highlight w:val="none"/>
          <w:u w:val="single"/>
          <w:lang w:eastAsia="zh-CN"/>
        </w:rPr>
        <w:t xml:space="preserve">     </w:t>
      </w:r>
      <w:r>
        <w:rPr>
          <w:color w:val="auto"/>
          <w:highlight w:val="none"/>
          <w:lang w:eastAsia="zh-CN"/>
        </w:rPr>
        <w:t>月</w:t>
      </w:r>
      <w:r>
        <w:rPr>
          <w:color w:val="auto"/>
          <w:highlight w:val="none"/>
          <w:u w:val="single"/>
          <w:lang w:eastAsia="zh-CN"/>
        </w:rPr>
        <w:t xml:space="preserve">     </w:t>
      </w:r>
      <w:r>
        <w:rPr>
          <w:color w:val="auto"/>
          <w:highlight w:val="none"/>
          <w:lang w:eastAsia="zh-CN"/>
        </w:rPr>
        <w:t>日</w:t>
      </w:r>
    </w:p>
    <w:p>
      <w:pPr>
        <w:rPr>
          <w:rFonts w:ascii="宋体" w:hAnsi="宋体"/>
          <w:color w:val="auto"/>
          <w:sz w:val="24"/>
          <w:highlight w:val="none"/>
        </w:rPr>
      </w:pPr>
      <w:r>
        <w:rPr>
          <w:rFonts w:hint="eastAsia" w:ascii="宋体" w:hAnsi="宋体"/>
          <w:b/>
          <w:color w:val="auto"/>
          <w:sz w:val="24"/>
          <w:highlight w:val="none"/>
        </w:rPr>
        <w:t>说明</w:t>
      </w:r>
      <w:r>
        <w:rPr>
          <w:rFonts w:hint="eastAsia" w:ascii="宋体" w:hAnsi="宋体"/>
          <w:color w:val="auto"/>
          <w:sz w:val="24"/>
          <w:highlight w:val="none"/>
        </w:rPr>
        <w:t>：</w:t>
      </w:r>
    </w:p>
    <w:p>
      <w:pPr>
        <w:rPr>
          <w:rFonts w:ascii="宋体" w:hAnsi="宋体"/>
          <w:color w:val="auto"/>
          <w:sz w:val="24"/>
          <w:highlight w:val="none"/>
        </w:rPr>
      </w:pPr>
      <w:r>
        <w:rPr>
          <w:rFonts w:hint="eastAsia" w:ascii="宋体" w:hAnsi="宋体"/>
          <w:color w:val="auto"/>
          <w:sz w:val="24"/>
          <w:highlight w:val="none"/>
        </w:rPr>
        <w:t>1.供应商必须提供本声明函，且不得擅自修改和删除，否则其响应文件将作无效响应处理。</w:t>
      </w:r>
    </w:p>
    <w:p>
      <w:pPr>
        <w:rPr>
          <w:rFonts w:ascii="宋体" w:hAnsi="宋体"/>
          <w:color w:val="auto"/>
          <w:sz w:val="28"/>
          <w:highlight w:val="none"/>
        </w:rPr>
      </w:pPr>
      <w:r>
        <w:rPr>
          <w:rFonts w:hint="eastAsia" w:ascii="宋体" w:hAnsi="宋体"/>
          <w:color w:val="auto"/>
          <w:sz w:val="24"/>
          <w:highlight w:val="none"/>
        </w:rPr>
        <w:t>2.供应商如存在与本声明函事实不符或虚假响应的，其响应文件将作无效响应处理。</w:t>
      </w:r>
      <w:r>
        <w:rPr>
          <w:rFonts w:ascii="宋体" w:hAnsi="宋体"/>
          <w:color w:val="auto"/>
          <w:highlight w:val="none"/>
        </w:rPr>
        <w:t xml:space="preserve"> </w:t>
      </w:r>
      <w:bookmarkStart w:id="144" w:name="_Toc103033242"/>
      <w:bookmarkStart w:id="145" w:name="_Toc104040712"/>
      <w:r>
        <w:rPr>
          <w:rFonts w:ascii="宋体" w:hAnsi="宋体"/>
          <w:color w:val="auto"/>
          <w:sz w:val="24"/>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r>
        <w:rPr>
          <w:rFonts w:hint="eastAsia" w:ascii="宋体" w:hAnsi="宋体"/>
          <w:color w:val="auto"/>
          <w:szCs w:val="24"/>
          <w:highlight w:val="none"/>
        </w:rPr>
        <w:t>中小企业声明函</w:t>
      </w:r>
      <w:bookmarkEnd w:id="144"/>
      <w:bookmarkEnd w:id="145"/>
    </w:p>
    <w:p>
      <w:pPr>
        <w:rPr>
          <w:rFonts w:ascii="宋体" w:hAnsi="宋体" w:cs="宋体"/>
          <w:i/>
          <w:iCs/>
          <w:color w:val="auto"/>
          <w:szCs w:val="21"/>
          <w:highlight w:val="none"/>
        </w:rPr>
      </w:pPr>
      <w:r>
        <w:rPr>
          <w:rFonts w:hint="eastAsia" w:ascii="宋体" w:hAnsi="宋体" w:cs="宋体"/>
          <w:i/>
          <w:iCs/>
          <w:color w:val="auto"/>
          <w:szCs w:val="21"/>
          <w:highlight w:val="none"/>
        </w:rPr>
        <w:t>（以下格式文件由供应商根据需要选用）</w:t>
      </w:r>
    </w:p>
    <w:p>
      <w:pPr>
        <w:pStyle w:val="356"/>
        <w:ind w:firstLine="0" w:firstLineChars="0"/>
        <w:jc w:val="center"/>
        <w:rPr>
          <w:b/>
          <w:bCs/>
          <w:color w:val="auto"/>
          <w:sz w:val="28"/>
          <w:szCs w:val="28"/>
          <w:highlight w:val="none"/>
          <w:lang w:eastAsia="zh-CN"/>
        </w:rPr>
      </w:pPr>
      <w:r>
        <w:rPr>
          <w:rFonts w:hint="eastAsia"/>
          <w:b/>
          <w:bCs/>
          <w:color w:val="auto"/>
          <w:sz w:val="28"/>
          <w:szCs w:val="28"/>
          <w:highlight w:val="none"/>
          <w:lang w:eastAsia="zh-CN"/>
        </w:rPr>
        <w:t>中小企业声明函（货物）</w:t>
      </w:r>
    </w:p>
    <w:p>
      <w:pPr>
        <w:pStyle w:val="356"/>
        <w:rPr>
          <w:color w:val="auto"/>
          <w:highlight w:val="none"/>
          <w:lang w:eastAsia="zh-CN"/>
        </w:rPr>
      </w:pPr>
      <w:r>
        <w:rPr>
          <w:rFonts w:hint="eastAsia"/>
          <w:color w:val="auto"/>
          <w:highlight w:val="none"/>
          <w:lang w:eastAsia="zh-CN"/>
        </w:rPr>
        <w:t>本公司（联合体）郑重声明，根据《政府采购促进中小企业发展管理办法》（财库﹝</w:t>
      </w:r>
      <w:r>
        <w:rPr>
          <w:color w:val="auto"/>
          <w:highlight w:val="none"/>
          <w:lang w:eastAsia="zh-CN"/>
        </w:rPr>
        <w:t>2020﹞46 号）的规定，本公司</w:t>
      </w:r>
      <w:r>
        <w:rPr>
          <w:rFonts w:hint="eastAsia"/>
          <w:color w:val="auto"/>
          <w:highlight w:val="none"/>
          <w:lang w:eastAsia="zh-CN"/>
        </w:rPr>
        <w:t>（联合体）参加</w:t>
      </w:r>
      <w:r>
        <w:rPr>
          <w:rFonts w:hint="eastAsia"/>
          <w:color w:val="auto"/>
          <w:highlight w:val="none"/>
          <w:u w:val="single"/>
          <w:lang w:eastAsia="zh-CN"/>
        </w:rPr>
        <w:t xml:space="preserve"> </w:t>
      </w:r>
      <w:r>
        <w:rPr>
          <w:color w:val="auto"/>
          <w:highlight w:val="none"/>
          <w:u w:val="single"/>
          <w:lang w:eastAsia="zh-CN"/>
        </w:rPr>
        <w:t xml:space="preserve">   </w:t>
      </w:r>
      <w:r>
        <w:rPr>
          <w:rFonts w:hint="eastAsia"/>
          <w:color w:val="auto"/>
          <w:highlight w:val="none"/>
          <w:u w:val="single"/>
          <w:lang w:eastAsia="zh-CN"/>
        </w:rPr>
        <w:t>（单位名称）</w:t>
      </w:r>
      <w:r>
        <w:rPr>
          <w:rFonts w:hint="eastAsia"/>
          <w:color w:val="auto"/>
          <w:highlight w:val="none"/>
          <w:lang w:eastAsia="zh-CN"/>
        </w:rPr>
        <w:t>的</w:t>
      </w:r>
      <w:r>
        <w:rPr>
          <w:rFonts w:hint="eastAsia"/>
          <w:color w:val="auto"/>
          <w:highlight w:val="none"/>
          <w:u w:val="single"/>
          <w:lang w:eastAsia="zh-CN"/>
        </w:rPr>
        <w:t xml:space="preserve"> </w:t>
      </w:r>
      <w:r>
        <w:rPr>
          <w:color w:val="auto"/>
          <w:highlight w:val="none"/>
          <w:u w:val="single"/>
          <w:lang w:eastAsia="zh-CN"/>
        </w:rPr>
        <w:t xml:space="preserve">  </w:t>
      </w:r>
      <w:r>
        <w:rPr>
          <w:rFonts w:hint="eastAsia"/>
          <w:color w:val="auto"/>
          <w:highlight w:val="none"/>
          <w:u w:val="single"/>
          <w:lang w:eastAsia="zh-CN"/>
        </w:rPr>
        <w:t>（项目名称）</w:t>
      </w:r>
      <w:r>
        <w:rPr>
          <w:rFonts w:hint="eastAsia"/>
          <w:color w:val="auto"/>
          <w:highlight w:val="none"/>
          <w:lang w:eastAsia="zh-CN"/>
        </w:rPr>
        <w:t>采购活动，提供的货物全部由符合政策要求的中小企业制造。相关企业（含联合体中的中小企业、签订分包意向协议的中小企业）的具体情况如下：</w:t>
      </w:r>
    </w:p>
    <w:p>
      <w:pPr>
        <w:pStyle w:val="363"/>
        <w:spacing w:line="360" w:lineRule="auto"/>
        <w:ind w:firstLine="468" w:firstLineChars="200"/>
        <w:rPr>
          <w:rFonts w:ascii="宋体" w:hAnsi="宋体"/>
          <w:color w:val="auto"/>
          <w:sz w:val="24"/>
          <w:szCs w:val="24"/>
          <w:highlight w:val="none"/>
          <w:u w:val="single"/>
        </w:rPr>
      </w:pPr>
      <w:r>
        <w:rPr>
          <w:rFonts w:ascii="宋体" w:hAnsi="宋体"/>
          <w:color w:val="auto"/>
          <w:spacing w:val="-3"/>
          <w:sz w:val="24"/>
          <w:szCs w:val="24"/>
          <w:highlight w:val="none"/>
        </w:rPr>
        <w:t>1</w:t>
      </w:r>
      <w:r>
        <w:rPr>
          <w:rFonts w:ascii="宋体" w:hAnsi="宋体"/>
          <w:color w:val="auto"/>
          <w:spacing w:val="-2"/>
          <w:sz w:val="24"/>
          <w:szCs w:val="24"/>
          <w:highlight w:val="none"/>
        </w:rPr>
        <w:t>.</w:t>
      </w:r>
      <w:r>
        <w:rPr>
          <w:rFonts w:hint="eastAsia"/>
          <w:color w:val="auto"/>
          <w:sz w:val="24"/>
          <w:szCs w:val="24"/>
          <w:highlight w:val="none"/>
          <w:u w:val="single"/>
        </w:rPr>
        <w:t xml:space="preserve"> </w:t>
      </w:r>
      <w:r>
        <w:rPr>
          <w:color w:val="auto"/>
          <w:sz w:val="24"/>
          <w:szCs w:val="24"/>
          <w:highlight w:val="none"/>
          <w:u w:val="single"/>
        </w:rPr>
        <w:t xml:space="preserve">   </w:t>
      </w:r>
      <w:r>
        <w:rPr>
          <w:rFonts w:ascii="宋体" w:hAnsi="宋体"/>
          <w:color w:val="auto"/>
          <w:sz w:val="24"/>
          <w:szCs w:val="24"/>
          <w:highlight w:val="none"/>
          <w:u w:val="single"/>
        </w:rPr>
        <w:t>（标的名称）</w:t>
      </w:r>
      <w:r>
        <w:rPr>
          <w:rFonts w:ascii="宋体" w:hAnsi="宋体"/>
          <w:color w:val="auto"/>
          <w:sz w:val="24"/>
          <w:szCs w:val="24"/>
          <w:highlight w:val="none"/>
        </w:rPr>
        <w:t>，属于</w:t>
      </w:r>
      <w:r>
        <w:rPr>
          <w:rFonts w:hint="eastAsia"/>
          <w:color w:val="auto"/>
          <w:sz w:val="24"/>
          <w:szCs w:val="24"/>
          <w:highlight w:val="none"/>
          <w:u w:val="single"/>
        </w:rPr>
        <w:t xml:space="preserve"> </w:t>
      </w:r>
      <w:r>
        <w:rPr>
          <w:color w:val="auto"/>
          <w:sz w:val="24"/>
          <w:szCs w:val="24"/>
          <w:highlight w:val="none"/>
          <w:u w:val="single"/>
        </w:rPr>
        <w:t xml:space="preserve">   </w:t>
      </w:r>
      <w:r>
        <w:rPr>
          <w:rFonts w:ascii="宋体" w:hAnsi="宋体"/>
          <w:color w:val="auto"/>
          <w:sz w:val="24"/>
          <w:szCs w:val="24"/>
          <w:highlight w:val="none"/>
          <w:u w:val="single"/>
        </w:rPr>
        <w:t>（采购文件中明确的所属行业）</w:t>
      </w:r>
      <w:r>
        <w:rPr>
          <w:rFonts w:ascii="宋体" w:hAnsi="宋体"/>
          <w:color w:val="auto"/>
          <w:sz w:val="24"/>
          <w:szCs w:val="24"/>
          <w:highlight w:val="none"/>
        </w:rPr>
        <w:t>行业；制造商为</w:t>
      </w:r>
      <w:r>
        <w:rPr>
          <w:rFonts w:hint="eastAsia"/>
          <w:color w:val="auto"/>
          <w:sz w:val="24"/>
          <w:szCs w:val="24"/>
          <w:highlight w:val="none"/>
          <w:u w:val="single"/>
        </w:rPr>
        <w:t xml:space="preserve"> </w:t>
      </w:r>
      <w:r>
        <w:rPr>
          <w:color w:val="auto"/>
          <w:sz w:val="24"/>
          <w:szCs w:val="24"/>
          <w:highlight w:val="none"/>
          <w:u w:val="single"/>
        </w:rPr>
        <w:t xml:space="preserve">   </w:t>
      </w:r>
      <w:r>
        <w:rPr>
          <w:rFonts w:ascii="宋体" w:hAnsi="宋体"/>
          <w:color w:val="auto"/>
          <w:sz w:val="24"/>
          <w:szCs w:val="24"/>
          <w:highlight w:val="none"/>
          <w:u w:val="single"/>
        </w:rPr>
        <w:t>（企业名称）</w:t>
      </w:r>
      <w:r>
        <w:rPr>
          <w:rFonts w:ascii="宋体" w:hAnsi="宋体"/>
          <w:color w:val="auto"/>
          <w:sz w:val="24"/>
          <w:szCs w:val="24"/>
          <w:highlight w:val="none"/>
        </w:rPr>
        <w:t>，从业人员</w:t>
      </w:r>
      <w:r>
        <w:rPr>
          <w:rFonts w:ascii="宋体" w:hAnsi="宋体" w:cs="Times New Roman"/>
          <w:color w:val="auto"/>
          <w:sz w:val="24"/>
          <w:szCs w:val="24"/>
          <w:highlight w:val="none"/>
          <w:u w:val="single"/>
        </w:rPr>
        <w:t xml:space="preserve"> </w:t>
      </w:r>
      <w:r>
        <w:rPr>
          <w:rFonts w:ascii="宋体" w:hAnsi="宋体" w:cs="Times New Roman"/>
          <w:color w:val="auto"/>
          <w:sz w:val="24"/>
          <w:szCs w:val="24"/>
          <w:highlight w:val="none"/>
          <w:u w:val="single"/>
        </w:rPr>
        <w:tab/>
      </w:r>
      <w:r>
        <w:rPr>
          <w:rFonts w:ascii="宋体" w:hAnsi="宋体" w:cs="Times New Roman"/>
          <w:color w:val="auto"/>
          <w:sz w:val="24"/>
          <w:szCs w:val="24"/>
          <w:highlight w:val="none"/>
          <w:u w:val="single"/>
        </w:rPr>
        <w:t xml:space="preserve"> </w:t>
      </w:r>
      <w:r>
        <w:rPr>
          <w:rFonts w:ascii="宋体" w:hAnsi="宋体"/>
          <w:color w:val="auto"/>
          <w:sz w:val="24"/>
          <w:szCs w:val="24"/>
          <w:highlight w:val="none"/>
        </w:rPr>
        <w:t>人</w:t>
      </w:r>
      <w:r>
        <w:rPr>
          <w:rFonts w:ascii="宋体" w:hAnsi="宋体"/>
          <w:color w:val="auto"/>
          <w:spacing w:val="-18"/>
          <w:sz w:val="24"/>
          <w:szCs w:val="24"/>
          <w:highlight w:val="none"/>
        </w:rPr>
        <w:t>，</w:t>
      </w:r>
      <w:r>
        <w:rPr>
          <w:rFonts w:ascii="宋体" w:hAnsi="宋体"/>
          <w:color w:val="auto"/>
          <w:sz w:val="24"/>
          <w:szCs w:val="24"/>
          <w:highlight w:val="none"/>
        </w:rPr>
        <w:t>营业收入为</w:t>
      </w:r>
      <w:r>
        <w:rPr>
          <w:rFonts w:ascii="宋体" w:hAnsi="宋体" w:cs="Times New Roman"/>
          <w:color w:val="auto"/>
          <w:sz w:val="24"/>
          <w:szCs w:val="24"/>
          <w:highlight w:val="none"/>
          <w:u w:val="single"/>
        </w:rPr>
        <w:t xml:space="preserve">  </w:t>
      </w:r>
      <w:r>
        <w:rPr>
          <w:rFonts w:ascii="宋体" w:hAnsi="宋体" w:cs="Times New Roman"/>
          <w:color w:val="auto"/>
          <w:sz w:val="24"/>
          <w:szCs w:val="24"/>
          <w:highlight w:val="none"/>
          <w:u w:val="single"/>
        </w:rPr>
        <w:tab/>
      </w:r>
      <w:r>
        <w:rPr>
          <w:rFonts w:ascii="宋体" w:hAnsi="宋体"/>
          <w:color w:val="auto"/>
          <w:sz w:val="24"/>
          <w:szCs w:val="24"/>
          <w:highlight w:val="none"/>
        </w:rPr>
        <w:t>万元，资产总额为</w:t>
      </w:r>
      <w:r>
        <w:rPr>
          <w:rFonts w:ascii="宋体" w:hAnsi="宋体" w:cs="Times New Roman"/>
          <w:color w:val="auto"/>
          <w:sz w:val="24"/>
          <w:szCs w:val="24"/>
          <w:highlight w:val="none"/>
          <w:u w:val="single"/>
        </w:rPr>
        <w:t xml:space="preserve">  </w:t>
      </w:r>
      <w:r>
        <w:rPr>
          <w:rFonts w:ascii="宋体" w:hAnsi="宋体" w:cs="Times New Roman"/>
          <w:color w:val="auto"/>
          <w:sz w:val="24"/>
          <w:szCs w:val="24"/>
          <w:highlight w:val="none"/>
          <w:u w:val="single"/>
        </w:rPr>
        <w:tab/>
      </w:r>
      <w:r>
        <w:rPr>
          <w:rFonts w:ascii="宋体" w:hAnsi="宋体"/>
          <w:color w:val="auto"/>
          <w:sz w:val="24"/>
          <w:szCs w:val="24"/>
          <w:highlight w:val="none"/>
        </w:rPr>
        <w:t>万元</w:t>
      </w:r>
      <w:r>
        <w:rPr>
          <w:rFonts w:ascii="宋体" w:hAnsi="宋体"/>
          <w:color w:val="auto"/>
          <w:spacing w:val="-3"/>
          <w:position w:val="4"/>
          <w:sz w:val="24"/>
          <w:szCs w:val="24"/>
          <w:highlight w:val="none"/>
          <w:vertAlign w:val="superscript"/>
        </w:rPr>
        <w:t>1</w:t>
      </w:r>
      <w:r>
        <w:rPr>
          <w:rFonts w:ascii="宋体" w:hAnsi="宋体"/>
          <w:color w:val="auto"/>
          <w:sz w:val="24"/>
          <w:szCs w:val="24"/>
          <w:highlight w:val="none"/>
        </w:rPr>
        <w:t>，属于</w:t>
      </w:r>
      <w:r>
        <w:rPr>
          <w:rFonts w:hint="eastAsia"/>
          <w:color w:val="auto"/>
          <w:sz w:val="24"/>
          <w:szCs w:val="24"/>
          <w:highlight w:val="none"/>
          <w:u w:val="single"/>
        </w:rPr>
        <w:t xml:space="preserve"> </w:t>
      </w:r>
      <w:r>
        <w:rPr>
          <w:color w:val="auto"/>
          <w:sz w:val="24"/>
          <w:szCs w:val="24"/>
          <w:highlight w:val="none"/>
          <w:u w:val="single"/>
        </w:rPr>
        <w:t xml:space="preserve">   </w:t>
      </w:r>
      <w:r>
        <w:rPr>
          <w:rFonts w:ascii="宋体" w:hAnsi="宋体"/>
          <w:color w:val="auto"/>
          <w:sz w:val="24"/>
          <w:szCs w:val="24"/>
          <w:highlight w:val="none"/>
          <w:u w:val="single"/>
        </w:rPr>
        <w:t>（中型企业、小型企业、微型企业）</w:t>
      </w:r>
      <w:r>
        <w:rPr>
          <w:rFonts w:hint="eastAsia" w:ascii="宋体" w:hAnsi="宋体"/>
          <w:color w:val="auto"/>
          <w:sz w:val="24"/>
          <w:szCs w:val="24"/>
          <w:highlight w:val="none"/>
          <w:u w:val="single"/>
        </w:rPr>
        <w:t>；</w:t>
      </w:r>
    </w:p>
    <w:p>
      <w:pPr>
        <w:pStyle w:val="363"/>
        <w:spacing w:line="360" w:lineRule="auto"/>
        <w:ind w:firstLine="468" w:firstLineChars="200"/>
        <w:rPr>
          <w:rFonts w:ascii="宋体" w:hAnsi="宋体"/>
          <w:color w:val="auto"/>
          <w:sz w:val="24"/>
          <w:szCs w:val="24"/>
          <w:highlight w:val="none"/>
        </w:rPr>
      </w:pPr>
      <w:r>
        <w:rPr>
          <w:rFonts w:hint="eastAsia" w:ascii="宋体" w:hAnsi="宋体"/>
          <w:color w:val="auto"/>
          <w:spacing w:val="-3"/>
          <w:sz w:val="24"/>
          <w:szCs w:val="24"/>
          <w:highlight w:val="none"/>
        </w:rPr>
        <w:t>2</w:t>
      </w:r>
      <w:r>
        <w:rPr>
          <w:rFonts w:hint="eastAsia" w:ascii="宋体" w:hAnsi="宋体"/>
          <w:color w:val="auto"/>
          <w:spacing w:val="-2"/>
          <w:sz w:val="24"/>
          <w:szCs w:val="24"/>
          <w:highlight w:val="none"/>
        </w:rPr>
        <w:t>.</w:t>
      </w:r>
      <w:r>
        <w:rPr>
          <w:rFonts w:hint="eastAsia"/>
          <w:color w:val="auto"/>
          <w:sz w:val="24"/>
          <w:szCs w:val="24"/>
          <w:highlight w:val="none"/>
          <w:u w:val="single"/>
        </w:rPr>
        <w:t xml:space="preserve"> </w:t>
      </w:r>
      <w:r>
        <w:rPr>
          <w:color w:val="auto"/>
          <w:sz w:val="24"/>
          <w:szCs w:val="24"/>
          <w:highlight w:val="none"/>
          <w:u w:val="single"/>
        </w:rPr>
        <w:t xml:space="preserve">   </w:t>
      </w:r>
      <w:r>
        <w:rPr>
          <w:rFonts w:hint="eastAsia" w:ascii="宋体" w:hAnsi="宋体"/>
          <w:color w:val="auto"/>
          <w:sz w:val="24"/>
          <w:szCs w:val="24"/>
          <w:highlight w:val="none"/>
          <w:u w:val="single"/>
        </w:rPr>
        <w:t>（标的名称）</w:t>
      </w:r>
      <w:r>
        <w:rPr>
          <w:rFonts w:hint="eastAsia" w:ascii="宋体" w:hAnsi="宋体"/>
          <w:color w:val="auto"/>
          <w:sz w:val="24"/>
          <w:szCs w:val="24"/>
          <w:highlight w:val="none"/>
        </w:rPr>
        <w:t>，属于</w:t>
      </w:r>
      <w:r>
        <w:rPr>
          <w:rFonts w:hint="eastAsia"/>
          <w:color w:val="auto"/>
          <w:sz w:val="24"/>
          <w:szCs w:val="24"/>
          <w:highlight w:val="none"/>
          <w:u w:val="single"/>
        </w:rPr>
        <w:t xml:space="preserve"> </w:t>
      </w:r>
      <w:r>
        <w:rPr>
          <w:color w:val="auto"/>
          <w:sz w:val="24"/>
          <w:szCs w:val="24"/>
          <w:highlight w:val="none"/>
          <w:u w:val="single"/>
        </w:rPr>
        <w:t xml:space="preserve">   </w:t>
      </w:r>
      <w:r>
        <w:rPr>
          <w:rFonts w:hint="eastAsia" w:ascii="宋体" w:hAnsi="宋体"/>
          <w:color w:val="auto"/>
          <w:sz w:val="24"/>
          <w:szCs w:val="24"/>
          <w:highlight w:val="none"/>
          <w:u w:val="single"/>
        </w:rPr>
        <w:t>（采购文件中明确的所属行业）</w:t>
      </w:r>
      <w:r>
        <w:rPr>
          <w:rFonts w:hint="eastAsia" w:ascii="宋体" w:hAnsi="宋体"/>
          <w:color w:val="auto"/>
          <w:sz w:val="24"/>
          <w:szCs w:val="24"/>
          <w:highlight w:val="none"/>
        </w:rPr>
        <w:t>行业；制造商为</w:t>
      </w:r>
      <w:r>
        <w:rPr>
          <w:rFonts w:hint="eastAsia"/>
          <w:color w:val="auto"/>
          <w:sz w:val="24"/>
          <w:szCs w:val="24"/>
          <w:highlight w:val="none"/>
          <w:u w:val="single"/>
        </w:rPr>
        <w:t xml:space="preserve"> </w:t>
      </w:r>
      <w:r>
        <w:rPr>
          <w:color w:val="auto"/>
          <w:sz w:val="24"/>
          <w:szCs w:val="24"/>
          <w:highlight w:val="none"/>
          <w:u w:val="single"/>
        </w:rPr>
        <w:t xml:space="preserve">   </w:t>
      </w:r>
      <w:r>
        <w:rPr>
          <w:rFonts w:hint="eastAsia" w:ascii="宋体" w:hAnsi="宋体"/>
          <w:color w:val="auto"/>
          <w:sz w:val="24"/>
          <w:szCs w:val="24"/>
          <w:highlight w:val="none"/>
          <w:u w:val="single"/>
        </w:rPr>
        <w:t>（企业名称）</w:t>
      </w:r>
      <w:r>
        <w:rPr>
          <w:rFonts w:hint="eastAsia" w:ascii="宋体" w:hAnsi="宋体"/>
          <w:color w:val="auto"/>
          <w:sz w:val="24"/>
          <w:szCs w:val="24"/>
          <w:highlight w:val="none"/>
        </w:rPr>
        <w:t>，从业人员</w:t>
      </w:r>
      <w:r>
        <w:rPr>
          <w:rFonts w:ascii="宋体" w:hAnsi="宋体"/>
          <w:color w:val="auto"/>
          <w:sz w:val="24"/>
          <w:szCs w:val="24"/>
          <w:highlight w:val="none"/>
          <w:u w:val="single"/>
        </w:rPr>
        <w:t xml:space="preserve"> </w:t>
      </w:r>
      <w:r>
        <w:rPr>
          <w:rFonts w:ascii="宋体" w:hAnsi="宋体"/>
          <w:color w:val="auto"/>
          <w:sz w:val="24"/>
          <w:szCs w:val="24"/>
          <w:highlight w:val="none"/>
          <w:u w:val="single"/>
        </w:rPr>
        <w:tab/>
      </w:r>
      <w:r>
        <w:rPr>
          <w:rFonts w:ascii="宋体" w:hAnsi="宋体"/>
          <w:color w:val="auto"/>
          <w:sz w:val="24"/>
          <w:szCs w:val="24"/>
          <w:highlight w:val="none"/>
          <w:u w:val="single"/>
        </w:rPr>
        <w:t xml:space="preserve"> </w:t>
      </w:r>
      <w:r>
        <w:rPr>
          <w:rFonts w:hint="eastAsia" w:ascii="宋体" w:hAnsi="宋体"/>
          <w:color w:val="auto"/>
          <w:sz w:val="24"/>
          <w:szCs w:val="24"/>
          <w:highlight w:val="none"/>
        </w:rPr>
        <w:t>人</w:t>
      </w:r>
      <w:r>
        <w:rPr>
          <w:rFonts w:hint="eastAsia" w:ascii="宋体" w:hAnsi="宋体"/>
          <w:color w:val="auto"/>
          <w:spacing w:val="-18"/>
          <w:sz w:val="24"/>
          <w:szCs w:val="24"/>
          <w:highlight w:val="none"/>
        </w:rPr>
        <w:t>，</w:t>
      </w:r>
      <w:r>
        <w:rPr>
          <w:rFonts w:hint="eastAsia" w:ascii="宋体" w:hAnsi="宋体"/>
          <w:color w:val="auto"/>
          <w:sz w:val="24"/>
          <w:szCs w:val="24"/>
          <w:highlight w:val="none"/>
        </w:rPr>
        <w:t>营业收入为</w:t>
      </w:r>
      <w:r>
        <w:rPr>
          <w:rFonts w:ascii="宋体" w:hAnsi="宋体"/>
          <w:color w:val="auto"/>
          <w:sz w:val="24"/>
          <w:szCs w:val="24"/>
          <w:highlight w:val="none"/>
          <w:u w:val="single"/>
        </w:rPr>
        <w:t xml:space="preserve"> </w:t>
      </w:r>
      <w:r>
        <w:rPr>
          <w:rFonts w:ascii="宋体" w:hAnsi="宋体"/>
          <w:color w:val="auto"/>
          <w:sz w:val="24"/>
          <w:szCs w:val="24"/>
          <w:highlight w:val="none"/>
          <w:u w:val="single"/>
        </w:rPr>
        <w:tab/>
      </w:r>
      <w:r>
        <w:rPr>
          <w:rFonts w:ascii="宋体" w:hAnsi="宋体"/>
          <w:color w:val="auto"/>
          <w:sz w:val="24"/>
          <w:szCs w:val="24"/>
          <w:highlight w:val="none"/>
          <w:u w:val="single"/>
        </w:rPr>
        <w:t xml:space="preserve"> </w:t>
      </w:r>
      <w:r>
        <w:rPr>
          <w:rFonts w:hint="eastAsia" w:ascii="宋体" w:hAnsi="宋体"/>
          <w:color w:val="auto"/>
          <w:sz w:val="24"/>
          <w:szCs w:val="24"/>
          <w:highlight w:val="none"/>
        </w:rPr>
        <w:t>万元，资产总额为</w:t>
      </w:r>
      <w:r>
        <w:rPr>
          <w:rFonts w:ascii="宋体" w:hAnsi="宋体"/>
          <w:color w:val="auto"/>
          <w:sz w:val="24"/>
          <w:szCs w:val="24"/>
          <w:highlight w:val="none"/>
          <w:u w:val="single"/>
        </w:rPr>
        <w:t xml:space="preserve"> </w:t>
      </w:r>
      <w:r>
        <w:rPr>
          <w:rFonts w:ascii="宋体" w:hAnsi="宋体"/>
          <w:color w:val="auto"/>
          <w:sz w:val="24"/>
          <w:szCs w:val="24"/>
          <w:highlight w:val="none"/>
          <w:u w:val="single"/>
        </w:rPr>
        <w:tab/>
      </w:r>
      <w:r>
        <w:rPr>
          <w:rFonts w:ascii="宋体" w:hAnsi="宋体"/>
          <w:color w:val="auto"/>
          <w:sz w:val="24"/>
          <w:szCs w:val="24"/>
          <w:highlight w:val="none"/>
          <w:u w:val="single"/>
        </w:rPr>
        <w:t xml:space="preserve"> </w:t>
      </w:r>
      <w:r>
        <w:rPr>
          <w:rFonts w:hint="eastAsia" w:ascii="宋体" w:hAnsi="宋体"/>
          <w:color w:val="auto"/>
          <w:sz w:val="24"/>
          <w:szCs w:val="24"/>
          <w:highlight w:val="none"/>
        </w:rPr>
        <w:t>万元</w:t>
      </w:r>
      <w:r>
        <w:rPr>
          <w:rFonts w:hint="eastAsia" w:ascii="宋体" w:hAnsi="宋体"/>
          <w:color w:val="auto"/>
          <w:spacing w:val="-3"/>
          <w:position w:val="4"/>
          <w:sz w:val="24"/>
          <w:szCs w:val="24"/>
          <w:highlight w:val="none"/>
          <w:vertAlign w:val="superscript"/>
        </w:rPr>
        <w:t>1</w:t>
      </w:r>
      <w:r>
        <w:rPr>
          <w:rFonts w:hint="eastAsia" w:ascii="宋体" w:hAnsi="宋体"/>
          <w:color w:val="auto"/>
          <w:sz w:val="24"/>
          <w:szCs w:val="24"/>
          <w:highlight w:val="none"/>
        </w:rPr>
        <w:t>，属于</w:t>
      </w:r>
      <w:r>
        <w:rPr>
          <w:rFonts w:hint="eastAsia"/>
          <w:color w:val="auto"/>
          <w:sz w:val="24"/>
          <w:szCs w:val="24"/>
          <w:highlight w:val="none"/>
          <w:u w:val="single"/>
        </w:rPr>
        <w:t xml:space="preserve"> </w:t>
      </w:r>
      <w:r>
        <w:rPr>
          <w:color w:val="auto"/>
          <w:sz w:val="24"/>
          <w:szCs w:val="24"/>
          <w:highlight w:val="none"/>
          <w:u w:val="single"/>
        </w:rPr>
        <w:t xml:space="preserve">   </w:t>
      </w:r>
      <w:r>
        <w:rPr>
          <w:rFonts w:hint="eastAsia" w:ascii="宋体" w:hAnsi="宋体"/>
          <w:color w:val="auto"/>
          <w:sz w:val="24"/>
          <w:szCs w:val="24"/>
          <w:highlight w:val="none"/>
          <w:u w:val="single"/>
        </w:rPr>
        <w:t>（中型企业、小型企业、微型企业）</w:t>
      </w:r>
      <w:r>
        <w:rPr>
          <w:rFonts w:hint="eastAsia" w:ascii="宋体" w:hAnsi="宋体"/>
          <w:color w:val="auto"/>
          <w:sz w:val="24"/>
          <w:szCs w:val="24"/>
          <w:highlight w:val="none"/>
        </w:rPr>
        <w:t>；</w:t>
      </w:r>
    </w:p>
    <w:p>
      <w:pPr>
        <w:pStyle w:val="356"/>
        <w:rPr>
          <w:color w:val="auto"/>
          <w:highlight w:val="none"/>
          <w:lang w:eastAsia="zh-CN"/>
        </w:rPr>
      </w:pPr>
      <w:r>
        <w:rPr>
          <w:rFonts w:hint="eastAsia"/>
          <w:color w:val="auto"/>
          <w:highlight w:val="none"/>
          <w:lang w:eastAsia="zh-CN"/>
        </w:rPr>
        <w:t>……</w:t>
      </w:r>
    </w:p>
    <w:p>
      <w:pPr>
        <w:pStyle w:val="356"/>
        <w:rPr>
          <w:color w:val="auto"/>
          <w:highlight w:val="none"/>
          <w:lang w:eastAsia="zh-CN"/>
        </w:rPr>
      </w:pPr>
      <w:r>
        <w:rPr>
          <w:rFonts w:hint="eastAsia"/>
          <w:color w:val="auto"/>
          <w:highlight w:val="none"/>
          <w:lang w:eastAsia="zh-CN"/>
        </w:rPr>
        <w:t>以上企业，不属于大企业的分支机构，不存在控股股东为大企业的情形，也不存在与大企业的负责人为同一人的情形。</w:t>
      </w:r>
    </w:p>
    <w:p>
      <w:pPr>
        <w:pStyle w:val="356"/>
        <w:rPr>
          <w:color w:val="auto"/>
          <w:highlight w:val="none"/>
          <w:lang w:eastAsia="zh-CN"/>
        </w:rPr>
      </w:pPr>
      <w:r>
        <w:rPr>
          <w:rFonts w:hint="eastAsia"/>
          <w:color w:val="auto"/>
          <w:highlight w:val="none"/>
          <w:lang w:eastAsia="zh-CN"/>
        </w:rPr>
        <w:t>本企业对上述声明内容的真实性负责。如有虚假，将依法承担相应责任。</w:t>
      </w:r>
    </w:p>
    <w:p>
      <w:pPr>
        <w:pStyle w:val="356"/>
        <w:ind w:firstLine="0" w:firstLineChars="0"/>
        <w:jc w:val="right"/>
        <w:rPr>
          <w:color w:val="auto"/>
          <w:highlight w:val="none"/>
          <w:u w:val="single"/>
          <w:lang w:eastAsia="zh-CN"/>
        </w:rPr>
      </w:pPr>
      <w:r>
        <w:rPr>
          <w:rFonts w:hint="eastAsia"/>
          <w:color w:val="auto"/>
          <w:highlight w:val="none"/>
          <w:lang w:eastAsia="zh-CN"/>
        </w:rPr>
        <w:t>企业名称（盖章）：</w:t>
      </w:r>
      <w:r>
        <w:rPr>
          <w:color w:val="auto"/>
          <w:highlight w:val="none"/>
          <w:u w:val="single"/>
          <w:lang w:eastAsia="zh-CN"/>
        </w:rPr>
        <w:t xml:space="preserve">                 .</w:t>
      </w:r>
    </w:p>
    <w:p>
      <w:pPr>
        <w:pStyle w:val="356"/>
        <w:ind w:left="5141" w:leftChars="2448"/>
        <w:jc w:val="right"/>
        <w:rPr>
          <w:color w:val="auto"/>
          <w:highlight w:val="none"/>
          <w:lang w:eastAsia="zh-CN"/>
        </w:rPr>
      </w:pPr>
      <w:r>
        <w:rPr>
          <w:rFonts w:hint="eastAsia"/>
          <w:color w:val="auto"/>
          <w:highlight w:val="none"/>
          <w:lang w:eastAsia="zh-CN"/>
        </w:rPr>
        <w:t>日期：</w:t>
      </w:r>
      <w:r>
        <w:rPr>
          <w:color w:val="auto"/>
          <w:highlight w:val="none"/>
          <w:u w:val="single"/>
          <w:lang w:eastAsia="zh-CN"/>
        </w:rPr>
        <w:t xml:space="preserve">    </w:t>
      </w:r>
      <w:r>
        <w:rPr>
          <w:color w:val="auto"/>
          <w:highlight w:val="none"/>
          <w:lang w:eastAsia="zh-CN"/>
        </w:rPr>
        <w:t>年</w:t>
      </w:r>
      <w:r>
        <w:rPr>
          <w:color w:val="auto"/>
          <w:highlight w:val="none"/>
          <w:u w:val="single"/>
          <w:lang w:eastAsia="zh-CN"/>
        </w:rPr>
        <w:t xml:space="preserve">    </w:t>
      </w:r>
      <w:r>
        <w:rPr>
          <w:color w:val="auto"/>
          <w:highlight w:val="none"/>
          <w:lang w:eastAsia="zh-CN"/>
        </w:rPr>
        <w:t>月</w:t>
      </w:r>
      <w:r>
        <w:rPr>
          <w:color w:val="auto"/>
          <w:highlight w:val="none"/>
          <w:u w:val="single"/>
          <w:lang w:eastAsia="zh-CN"/>
        </w:rPr>
        <w:t xml:space="preserve">    </w:t>
      </w:r>
      <w:r>
        <w:rPr>
          <w:color w:val="auto"/>
          <w:highlight w:val="none"/>
          <w:lang w:eastAsia="zh-CN"/>
        </w:rPr>
        <w:t>日</w:t>
      </w:r>
    </w:p>
    <w:p>
      <w:pPr>
        <w:spacing w:line="240" w:lineRule="auto"/>
        <w:rPr>
          <w:rFonts w:ascii="宋体" w:hAnsi="宋体"/>
          <w:b/>
          <w:bCs/>
          <w:color w:val="auto"/>
          <w:szCs w:val="21"/>
          <w:highlight w:val="none"/>
        </w:rPr>
      </w:pPr>
      <w:r>
        <w:rPr>
          <w:rFonts w:hint="eastAsia" w:ascii="宋体" w:hAnsi="宋体"/>
          <w:b/>
          <w:bCs/>
          <w:color w:val="auto"/>
          <w:szCs w:val="21"/>
          <w:highlight w:val="none"/>
        </w:rPr>
        <w:t>说明：</w:t>
      </w:r>
    </w:p>
    <w:p>
      <w:pPr>
        <w:spacing w:line="240" w:lineRule="auto"/>
        <w:ind w:firstLine="420" w:firstLineChars="200"/>
        <w:rPr>
          <w:rFonts w:ascii="宋体" w:hAnsi="宋体"/>
          <w:color w:val="auto"/>
          <w:szCs w:val="21"/>
          <w:highlight w:val="none"/>
        </w:rPr>
      </w:pPr>
      <w:bookmarkStart w:id="146" w:name="_Hlk103521800"/>
      <w:r>
        <w:rPr>
          <w:rFonts w:ascii="宋体" w:hAnsi="宋体"/>
          <w:color w:val="auto"/>
          <w:szCs w:val="21"/>
          <w:highlight w:val="none"/>
        </w:rPr>
        <w:t>1.</w:t>
      </w:r>
      <w:r>
        <w:rPr>
          <w:rFonts w:ascii="宋体" w:hAnsi="宋体"/>
          <w:color w:val="auto"/>
          <w:szCs w:val="21"/>
          <w:highlight w:val="none"/>
          <w:vertAlign w:val="superscript"/>
        </w:rPr>
        <w:t>1</w:t>
      </w:r>
      <w:r>
        <w:rPr>
          <w:rFonts w:ascii="宋体" w:hAnsi="宋体"/>
          <w:color w:val="auto"/>
          <w:szCs w:val="21"/>
          <w:highlight w:val="none"/>
        </w:rPr>
        <w:t>从业人员、营业收入、资产总额填报上一年度数据，无上一年度数据的新成立企业可不填报。</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2.针对属于专门面向中小企业采购的项目，供应商须提供本声明函。</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3.针对不属于专门面向中小企业采购的项目，如供应商认为其所投</w:t>
      </w:r>
      <w:r>
        <w:rPr>
          <w:rFonts w:hint="eastAsia" w:ascii="宋体" w:hAnsi="宋体"/>
          <w:color w:val="auto"/>
          <w:szCs w:val="21"/>
          <w:highlight w:val="none"/>
        </w:rPr>
        <w:t>产品制造商均为中小企业，</w:t>
      </w:r>
      <w:r>
        <w:rPr>
          <w:rFonts w:ascii="宋体" w:hAnsi="宋体"/>
          <w:color w:val="auto"/>
          <w:szCs w:val="21"/>
          <w:highlight w:val="none"/>
        </w:rPr>
        <w:t>且使用该中小企业商号或者注册商标，可提供本声明函，填写相应信息，并明确企业类型，否则评审时不能享受相应的价格扣除；如供应商所投所有货物不由中小企业制造商制造的，则无须提供本声明函。</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4.供应商应当对其出具的《中小企业声明函》真实性负责，供应商出具的《中小企业声明函》内容不实的，属于虚假承诺，可能面临因提供虚假资料谋取中标（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必依据规定谨慎提供声明，避免不必要的法律风险。</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5.</w:t>
      </w:r>
      <w:r>
        <w:rPr>
          <w:rFonts w:hint="eastAsia" w:ascii="宋体" w:hAnsi="宋体"/>
          <w:color w:val="auto"/>
          <w:szCs w:val="21"/>
          <w:highlight w:val="none"/>
        </w:rPr>
        <w:t>所属行业应符合采购文件中明确的本项目所属行业</w:t>
      </w:r>
      <w:r>
        <w:rPr>
          <w:rFonts w:ascii="宋体" w:hAnsi="宋体"/>
          <w:color w:val="auto"/>
          <w:szCs w:val="21"/>
          <w:highlight w:val="none"/>
        </w:rPr>
        <w:t>。</w:t>
      </w:r>
    </w:p>
    <w:p>
      <w:pPr>
        <w:spacing w:line="240" w:lineRule="auto"/>
        <w:ind w:firstLine="420" w:firstLineChars="200"/>
        <w:rPr>
          <w:color w:val="auto"/>
          <w:szCs w:val="21"/>
          <w:highlight w:val="none"/>
        </w:rPr>
      </w:pPr>
      <w:r>
        <w:rPr>
          <w:rFonts w:ascii="宋体" w:hAnsi="宋体"/>
          <w:color w:val="auto"/>
          <w:szCs w:val="21"/>
          <w:highlight w:val="none"/>
        </w:rPr>
        <w:t>6.供应商根据采购文件中明确的行业所对应的划分标准，判断制造商是否属于中小企业，如属于中小企业，请根据自身情况三选一（中型企业、小型企业、微型企业）填写</w:t>
      </w:r>
      <w:bookmarkEnd w:id="146"/>
      <w:r>
        <w:rPr>
          <w:rFonts w:ascii="宋体" w:hAnsi="宋体"/>
          <w:color w:val="auto"/>
          <w:szCs w:val="21"/>
          <w:highlight w:val="none"/>
        </w:rPr>
        <w:t>。</w:t>
      </w:r>
      <w:r>
        <w:rPr>
          <w:color w:val="auto"/>
          <w:szCs w:val="21"/>
          <w:highlight w:val="none"/>
        </w:rPr>
        <w:br w:type="page"/>
      </w:r>
    </w:p>
    <w:p>
      <w:pPr>
        <w:pStyle w:val="356"/>
        <w:ind w:firstLine="0" w:firstLineChars="0"/>
        <w:jc w:val="center"/>
        <w:rPr>
          <w:b/>
          <w:bCs/>
          <w:color w:val="auto"/>
          <w:sz w:val="28"/>
          <w:szCs w:val="28"/>
          <w:highlight w:val="none"/>
          <w:lang w:eastAsia="zh-CN"/>
        </w:rPr>
      </w:pPr>
      <w:r>
        <w:rPr>
          <w:rFonts w:hint="eastAsia"/>
          <w:b/>
          <w:bCs/>
          <w:color w:val="auto"/>
          <w:sz w:val="28"/>
          <w:szCs w:val="28"/>
          <w:highlight w:val="none"/>
          <w:lang w:eastAsia="zh-CN"/>
        </w:rPr>
        <w:t>中小企业声明函（工程、服务）</w:t>
      </w:r>
    </w:p>
    <w:p>
      <w:pPr>
        <w:ind w:firstLine="480" w:firstLineChars="200"/>
        <w:rPr>
          <w:rFonts w:ascii="宋体" w:hAnsi="宋体"/>
          <w:color w:val="auto"/>
          <w:sz w:val="24"/>
          <w:highlight w:val="none"/>
        </w:rPr>
      </w:pPr>
      <w:r>
        <w:rPr>
          <w:rFonts w:hint="eastAsia" w:ascii="宋体" w:hAnsi="宋体"/>
          <w:color w:val="auto"/>
          <w:sz w:val="24"/>
          <w:highlight w:val="none"/>
        </w:rPr>
        <w:t>本公司（联合体）郑重声明，根据《政府采购促进中小企业发展管理办法》（财库﹝</w:t>
      </w:r>
      <w:r>
        <w:rPr>
          <w:rFonts w:ascii="宋体" w:hAnsi="宋体"/>
          <w:color w:val="auto"/>
          <w:sz w:val="24"/>
          <w:highlight w:val="none"/>
        </w:rPr>
        <w:t>2020﹞46号）的规定，本公司</w:t>
      </w:r>
      <w:r>
        <w:rPr>
          <w:rFonts w:hint="eastAsia" w:ascii="宋体" w:hAnsi="宋体"/>
          <w:color w:val="auto"/>
          <w:sz w:val="24"/>
          <w:highlight w:val="none"/>
        </w:rPr>
        <w:t>（联合体）参加</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（单位名称）</w:t>
      </w:r>
      <w:r>
        <w:rPr>
          <w:rFonts w:hint="eastAsia" w:ascii="宋体" w:hAnsi="宋体"/>
          <w:color w:val="auto"/>
          <w:sz w:val="24"/>
          <w:highlight w:val="none"/>
        </w:rPr>
        <w:t>的</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（项目名称）</w:t>
      </w:r>
      <w:r>
        <w:rPr>
          <w:rFonts w:hint="eastAsia" w:ascii="宋体" w:hAnsi="宋体"/>
          <w:color w:val="auto"/>
          <w:sz w:val="24"/>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pStyle w:val="2"/>
        <w:ind w:firstLine="468" w:firstLineChars="200"/>
        <w:jc w:val="left"/>
        <w:rPr>
          <w:rFonts w:ascii="宋体" w:hAnsi="宋体"/>
          <w:color w:val="auto"/>
          <w:sz w:val="24"/>
          <w:highlight w:val="none"/>
        </w:rPr>
      </w:pPr>
      <w:r>
        <w:rPr>
          <w:rFonts w:hint="eastAsia" w:ascii="宋体" w:hAnsi="宋体"/>
          <w:color w:val="auto"/>
          <w:spacing w:val="-3"/>
          <w:sz w:val="24"/>
          <w:highlight w:val="none"/>
        </w:rPr>
        <w:t>1</w:t>
      </w:r>
      <w:r>
        <w:rPr>
          <w:rFonts w:hint="eastAsia" w:ascii="宋体" w:hAnsi="宋体"/>
          <w:color w:val="auto"/>
          <w:spacing w:val="-2"/>
          <w:sz w:val="24"/>
          <w:highlight w:val="none"/>
        </w:rPr>
        <w:t>.</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（标的名称）</w:t>
      </w:r>
      <w:r>
        <w:rPr>
          <w:rFonts w:hint="eastAsia" w:ascii="宋体" w:hAnsi="宋体"/>
          <w:color w:val="auto"/>
          <w:sz w:val="24"/>
          <w:highlight w:val="none"/>
        </w:rPr>
        <w:t>，属于</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（采购文件中明确的所属行业）</w:t>
      </w:r>
      <w:r>
        <w:rPr>
          <w:rFonts w:hint="eastAsia" w:ascii="宋体" w:hAnsi="宋体"/>
          <w:color w:val="auto"/>
          <w:sz w:val="24"/>
          <w:highlight w:val="none"/>
        </w:rPr>
        <w:t>行业；承建（承接）企业为</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（企业名称）</w:t>
      </w:r>
      <w:r>
        <w:rPr>
          <w:rFonts w:hint="eastAsia" w:ascii="宋体" w:hAnsi="宋体"/>
          <w:color w:val="auto"/>
          <w:sz w:val="24"/>
          <w:highlight w:val="none"/>
        </w:rPr>
        <w:t>，从业人员</w:t>
      </w:r>
      <w:r>
        <w:rPr>
          <w:rFonts w:ascii="宋体" w:hAnsi="宋体"/>
          <w:color w:val="auto"/>
          <w:sz w:val="24"/>
          <w:highlight w:val="none"/>
          <w:u w:val="single"/>
        </w:rPr>
        <w:t xml:space="preserve"> </w:t>
      </w:r>
      <w:r>
        <w:rPr>
          <w:rFonts w:ascii="宋体" w:hAnsi="宋体"/>
          <w:color w:val="auto"/>
          <w:sz w:val="24"/>
          <w:highlight w:val="none"/>
          <w:u w:val="single"/>
        </w:rPr>
        <w:tab/>
      </w:r>
      <w:r>
        <w:rPr>
          <w:rFonts w:ascii="宋体" w:hAnsi="宋体"/>
          <w:color w:val="auto"/>
          <w:sz w:val="24"/>
          <w:highlight w:val="none"/>
          <w:u w:val="single"/>
        </w:rPr>
        <w:t xml:space="preserve"> </w:t>
      </w:r>
      <w:r>
        <w:rPr>
          <w:rFonts w:hint="eastAsia" w:ascii="宋体" w:hAnsi="宋体"/>
          <w:color w:val="auto"/>
          <w:sz w:val="24"/>
          <w:highlight w:val="none"/>
        </w:rPr>
        <w:t>人，营业收入为</w:t>
      </w:r>
      <w:r>
        <w:rPr>
          <w:rFonts w:ascii="宋体" w:hAnsi="宋体"/>
          <w:color w:val="auto"/>
          <w:sz w:val="24"/>
          <w:highlight w:val="none"/>
          <w:u w:val="single"/>
        </w:rPr>
        <w:t xml:space="preserve"> </w:t>
      </w:r>
      <w:r>
        <w:rPr>
          <w:rFonts w:ascii="宋体" w:hAnsi="宋体"/>
          <w:color w:val="auto"/>
          <w:sz w:val="24"/>
          <w:highlight w:val="none"/>
          <w:u w:val="single"/>
        </w:rPr>
        <w:tab/>
      </w:r>
      <w:r>
        <w:rPr>
          <w:rFonts w:ascii="宋体" w:hAnsi="宋体"/>
          <w:color w:val="auto"/>
          <w:sz w:val="24"/>
          <w:highlight w:val="none"/>
          <w:u w:val="single"/>
        </w:rPr>
        <w:t xml:space="preserve"> </w:t>
      </w:r>
      <w:r>
        <w:rPr>
          <w:rFonts w:hint="eastAsia" w:ascii="宋体" w:hAnsi="宋体"/>
          <w:color w:val="auto"/>
          <w:sz w:val="24"/>
          <w:highlight w:val="none"/>
        </w:rPr>
        <w:t>万元，资产总额为</w:t>
      </w:r>
      <w:r>
        <w:rPr>
          <w:rFonts w:ascii="宋体" w:hAnsi="宋体"/>
          <w:color w:val="auto"/>
          <w:sz w:val="24"/>
          <w:highlight w:val="none"/>
          <w:u w:val="single"/>
        </w:rPr>
        <w:t xml:space="preserve">  </w:t>
      </w:r>
      <w:r>
        <w:rPr>
          <w:rFonts w:ascii="宋体" w:hAnsi="宋体"/>
          <w:color w:val="auto"/>
          <w:sz w:val="24"/>
          <w:highlight w:val="none"/>
          <w:u w:val="single"/>
        </w:rPr>
        <w:tab/>
      </w:r>
      <w:r>
        <w:rPr>
          <w:rFonts w:hint="eastAsia" w:ascii="宋体" w:hAnsi="宋体"/>
          <w:color w:val="auto"/>
          <w:sz w:val="24"/>
          <w:highlight w:val="none"/>
        </w:rPr>
        <w:t>万元</w:t>
      </w:r>
      <w:r>
        <w:rPr>
          <w:rFonts w:hint="eastAsia" w:ascii="宋体" w:hAnsi="宋体"/>
          <w:color w:val="auto"/>
          <w:spacing w:val="-3"/>
          <w:position w:val="4"/>
          <w:sz w:val="24"/>
          <w:highlight w:val="none"/>
          <w:vertAlign w:val="superscript"/>
        </w:rPr>
        <w:t>1</w:t>
      </w:r>
      <w:r>
        <w:rPr>
          <w:rFonts w:hint="eastAsia" w:ascii="宋体" w:hAnsi="宋体"/>
          <w:color w:val="auto"/>
          <w:sz w:val="24"/>
          <w:highlight w:val="none"/>
        </w:rPr>
        <w:t>，属于</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（中型企业、</w:t>
      </w:r>
      <w:r>
        <w:rPr>
          <w:rFonts w:hint="eastAsia" w:ascii="宋体" w:hAnsi="宋体"/>
          <w:color w:val="auto"/>
          <w:spacing w:val="-17"/>
          <w:sz w:val="24"/>
          <w:highlight w:val="none"/>
          <w:u w:val="single"/>
        </w:rPr>
        <w:t>小型企业</w:t>
      </w:r>
      <w:r>
        <w:rPr>
          <w:rFonts w:hint="eastAsia" w:ascii="宋体" w:hAnsi="宋体"/>
          <w:color w:val="auto"/>
          <w:sz w:val="24"/>
          <w:highlight w:val="none"/>
          <w:u w:val="single"/>
        </w:rPr>
        <w:t>、微型企业）；</w:t>
      </w:r>
    </w:p>
    <w:p>
      <w:pPr>
        <w:pStyle w:val="2"/>
        <w:ind w:firstLine="468" w:firstLineChars="200"/>
        <w:jc w:val="left"/>
        <w:rPr>
          <w:rFonts w:ascii="宋体" w:hAnsi="宋体"/>
          <w:color w:val="auto"/>
          <w:sz w:val="24"/>
          <w:highlight w:val="none"/>
        </w:rPr>
      </w:pPr>
      <w:r>
        <w:rPr>
          <w:rFonts w:hint="eastAsia" w:ascii="宋体" w:hAnsi="宋体"/>
          <w:color w:val="auto"/>
          <w:spacing w:val="-3"/>
          <w:sz w:val="24"/>
          <w:highlight w:val="none"/>
        </w:rPr>
        <w:t>2</w:t>
      </w:r>
      <w:r>
        <w:rPr>
          <w:rFonts w:hint="eastAsia" w:ascii="宋体" w:hAnsi="宋体"/>
          <w:color w:val="auto"/>
          <w:spacing w:val="-2"/>
          <w:sz w:val="24"/>
          <w:highlight w:val="none"/>
        </w:rPr>
        <w:t>.</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（标的名称）</w:t>
      </w:r>
      <w:r>
        <w:rPr>
          <w:rFonts w:hint="eastAsia" w:ascii="宋体" w:hAnsi="宋体"/>
          <w:color w:val="auto"/>
          <w:sz w:val="24"/>
          <w:highlight w:val="none"/>
        </w:rPr>
        <w:t>，属于</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（采购文件中明确的所属行业）</w:t>
      </w:r>
      <w:r>
        <w:rPr>
          <w:rFonts w:hint="eastAsia" w:ascii="宋体" w:hAnsi="宋体"/>
          <w:color w:val="auto"/>
          <w:sz w:val="24"/>
          <w:highlight w:val="none"/>
        </w:rPr>
        <w:t>行业；承建（承接）企业为</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（企业名称）</w:t>
      </w:r>
      <w:r>
        <w:rPr>
          <w:rFonts w:hint="eastAsia" w:ascii="宋体" w:hAnsi="宋体"/>
          <w:color w:val="auto"/>
          <w:sz w:val="24"/>
          <w:highlight w:val="none"/>
        </w:rPr>
        <w:t>，从业人员</w:t>
      </w:r>
      <w:r>
        <w:rPr>
          <w:rFonts w:ascii="宋体" w:hAnsi="宋体"/>
          <w:color w:val="auto"/>
          <w:sz w:val="24"/>
          <w:highlight w:val="none"/>
          <w:u w:val="single"/>
        </w:rPr>
        <w:t xml:space="preserve"> </w:t>
      </w:r>
      <w:r>
        <w:rPr>
          <w:rFonts w:ascii="宋体" w:hAnsi="宋体"/>
          <w:color w:val="auto"/>
          <w:sz w:val="24"/>
          <w:highlight w:val="none"/>
          <w:u w:val="single"/>
        </w:rPr>
        <w:tab/>
      </w:r>
      <w:r>
        <w:rPr>
          <w:rFonts w:ascii="宋体" w:hAnsi="宋体"/>
          <w:color w:val="auto"/>
          <w:sz w:val="24"/>
          <w:highlight w:val="none"/>
          <w:u w:val="single"/>
        </w:rPr>
        <w:t xml:space="preserve"> </w:t>
      </w:r>
      <w:r>
        <w:rPr>
          <w:rFonts w:hint="eastAsia" w:ascii="宋体" w:hAnsi="宋体"/>
          <w:color w:val="auto"/>
          <w:sz w:val="24"/>
          <w:highlight w:val="none"/>
        </w:rPr>
        <w:t>人，营业收入为</w:t>
      </w:r>
      <w:r>
        <w:rPr>
          <w:rFonts w:ascii="宋体" w:hAnsi="宋体"/>
          <w:color w:val="auto"/>
          <w:sz w:val="24"/>
          <w:highlight w:val="none"/>
          <w:u w:val="single"/>
        </w:rPr>
        <w:t xml:space="preserve"> </w:t>
      </w:r>
      <w:r>
        <w:rPr>
          <w:rFonts w:ascii="宋体" w:hAnsi="宋体"/>
          <w:color w:val="auto"/>
          <w:sz w:val="24"/>
          <w:highlight w:val="none"/>
          <w:u w:val="single"/>
        </w:rPr>
        <w:tab/>
      </w:r>
      <w:r>
        <w:rPr>
          <w:rFonts w:ascii="宋体" w:hAnsi="宋体"/>
          <w:color w:val="auto"/>
          <w:sz w:val="24"/>
          <w:highlight w:val="none"/>
          <w:u w:val="single"/>
        </w:rPr>
        <w:t xml:space="preserve"> </w:t>
      </w:r>
      <w:r>
        <w:rPr>
          <w:rFonts w:hint="eastAsia" w:ascii="宋体" w:hAnsi="宋体"/>
          <w:color w:val="auto"/>
          <w:sz w:val="24"/>
          <w:highlight w:val="none"/>
        </w:rPr>
        <w:t>万元，资产总额为</w:t>
      </w:r>
      <w:r>
        <w:rPr>
          <w:rFonts w:ascii="宋体" w:hAnsi="宋体"/>
          <w:color w:val="auto"/>
          <w:sz w:val="24"/>
          <w:highlight w:val="none"/>
          <w:u w:val="single"/>
        </w:rPr>
        <w:t xml:space="preserve"> </w:t>
      </w:r>
      <w:r>
        <w:rPr>
          <w:rFonts w:ascii="宋体" w:hAnsi="宋体"/>
          <w:color w:val="auto"/>
          <w:sz w:val="24"/>
          <w:highlight w:val="none"/>
          <w:u w:val="single"/>
        </w:rPr>
        <w:tab/>
      </w:r>
      <w:r>
        <w:rPr>
          <w:rFonts w:ascii="宋体" w:hAnsi="宋体"/>
          <w:color w:val="auto"/>
          <w:sz w:val="24"/>
          <w:highlight w:val="none"/>
          <w:u w:val="single"/>
        </w:rPr>
        <w:t xml:space="preserve"> </w:t>
      </w:r>
      <w:r>
        <w:rPr>
          <w:rFonts w:hint="eastAsia" w:ascii="宋体" w:hAnsi="宋体"/>
          <w:color w:val="auto"/>
          <w:sz w:val="24"/>
          <w:highlight w:val="none"/>
        </w:rPr>
        <w:t>万元</w:t>
      </w:r>
      <w:r>
        <w:rPr>
          <w:rFonts w:hint="eastAsia" w:ascii="宋体" w:hAnsi="宋体"/>
          <w:color w:val="auto"/>
          <w:spacing w:val="-3"/>
          <w:position w:val="4"/>
          <w:sz w:val="24"/>
          <w:highlight w:val="none"/>
          <w:vertAlign w:val="superscript"/>
        </w:rPr>
        <w:t>1</w:t>
      </w:r>
      <w:r>
        <w:rPr>
          <w:rFonts w:hint="eastAsia" w:ascii="宋体" w:hAnsi="宋体"/>
          <w:color w:val="auto"/>
          <w:sz w:val="24"/>
          <w:highlight w:val="none"/>
        </w:rPr>
        <w:t>，属于</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（中型企业、</w:t>
      </w:r>
      <w:r>
        <w:rPr>
          <w:rFonts w:hint="eastAsia" w:ascii="宋体" w:hAnsi="宋体"/>
          <w:color w:val="auto"/>
          <w:spacing w:val="-17"/>
          <w:sz w:val="24"/>
          <w:highlight w:val="none"/>
          <w:u w:val="single"/>
        </w:rPr>
        <w:t>小</w:t>
      </w:r>
      <w:r>
        <w:rPr>
          <w:rFonts w:hint="eastAsia" w:ascii="宋体" w:hAnsi="宋体"/>
          <w:color w:val="auto"/>
          <w:sz w:val="24"/>
          <w:highlight w:val="none"/>
          <w:u w:val="single"/>
        </w:rPr>
        <w:t>型企业、微型企业）；</w:t>
      </w:r>
    </w:p>
    <w:p>
      <w:pPr>
        <w:pStyle w:val="45"/>
        <w:spacing w:after="0" w:line="360" w:lineRule="auto"/>
        <w:ind w:left="0" w:leftChars="0" w:firstLine="480"/>
        <w:rPr>
          <w:rFonts w:ascii="宋体" w:hAnsi="宋体"/>
          <w:color w:val="auto"/>
          <w:sz w:val="24"/>
          <w:highlight w:val="none"/>
        </w:rPr>
      </w:pPr>
      <w:r>
        <w:rPr>
          <w:rFonts w:hint="eastAsia" w:ascii="宋体" w:hAnsi="宋体"/>
          <w:color w:val="auto"/>
          <w:sz w:val="24"/>
          <w:highlight w:val="none"/>
        </w:rPr>
        <w:t>……</w:t>
      </w:r>
    </w:p>
    <w:p>
      <w:pPr>
        <w:pStyle w:val="45"/>
        <w:spacing w:after="0" w:line="360" w:lineRule="auto"/>
        <w:ind w:left="0" w:leftChars="0" w:firstLine="480"/>
        <w:rPr>
          <w:rFonts w:ascii="宋体" w:hAnsi="宋体"/>
          <w:color w:val="auto"/>
          <w:sz w:val="24"/>
          <w:highlight w:val="none"/>
        </w:rPr>
      </w:pPr>
      <w:r>
        <w:rPr>
          <w:rFonts w:hint="eastAsia" w:ascii="宋体" w:hAnsi="宋体"/>
          <w:color w:val="auto"/>
          <w:sz w:val="24"/>
          <w:highlight w:val="none"/>
        </w:rPr>
        <w:t>以上企业，不属于大企业的分支机构，不存在控股股东为大企业的情形，也不存在与大企业的负责人为同一人的情形。</w:t>
      </w:r>
    </w:p>
    <w:p>
      <w:pPr>
        <w:pStyle w:val="45"/>
        <w:spacing w:after="0" w:line="360" w:lineRule="auto"/>
        <w:ind w:left="0" w:leftChars="0" w:firstLine="480"/>
        <w:rPr>
          <w:rFonts w:ascii="宋体" w:hAnsi="宋体"/>
          <w:color w:val="auto"/>
          <w:sz w:val="24"/>
          <w:highlight w:val="none"/>
        </w:rPr>
      </w:pPr>
      <w:r>
        <w:rPr>
          <w:rFonts w:hint="eastAsia" w:ascii="宋体" w:hAnsi="宋体"/>
          <w:color w:val="auto"/>
          <w:sz w:val="24"/>
          <w:highlight w:val="none"/>
        </w:rPr>
        <w:t>本企业对上述声明内容的真实性负责。如有虚假，将依法承担相应责任。</w:t>
      </w:r>
    </w:p>
    <w:p>
      <w:pPr>
        <w:pStyle w:val="45"/>
        <w:spacing w:after="0" w:line="360" w:lineRule="auto"/>
        <w:ind w:left="0" w:leftChars="0" w:firstLine="480"/>
        <w:rPr>
          <w:rFonts w:ascii="宋体" w:hAnsi="宋体"/>
          <w:color w:val="auto"/>
          <w:sz w:val="24"/>
          <w:highlight w:val="none"/>
        </w:rPr>
      </w:pPr>
    </w:p>
    <w:p>
      <w:pPr>
        <w:pStyle w:val="356"/>
        <w:ind w:firstLine="0" w:firstLineChars="0"/>
        <w:jc w:val="right"/>
        <w:rPr>
          <w:color w:val="auto"/>
          <w:highlight w:val="none"/>
          <w:u w:val="single"/>
          <w:lang w:eastAsia="zh-CN"/>
        </w:rPr>
      </w:pPr>
      <w:r>
        <w:rPr>
          <w:rFonts w:hint="eastAsia"/>
          <w:color w:val="auto"/>
          <w:highlight w:val="none"/>
          <w:lang w:eastAsia="zh-CN"/>
        </w:rPr>
        <w:t>企业名称（盖章）：</w:t>
      </w:r>
      <w:r>
        <w:rPr>
          <w:color w:val="auto"/>
          <w:highlight w:val="none"/>
          <w:u w:val="single"/>
          <w:lang w:eastAsia="zh-CN"/>
        </w:rPr>
        <w:t xml:space="preserve">                 .</w:t>
      </w:r>
    </w:p>
    <w:p>
      <w:pPr>
        <w:pStyle w:val="356"/>
        <w:ind w:left="5141" w:leftChars="2448"/>
        <w:jc w:val="right"/>
        <w:rPr>
          <w:color w:val="auto"/>
          <w:highlight w:val="none"/>
          <w:lang w:eastAsia="zh-CN"/>
        </w:rPr>
      </w:pPr>
      <w:r>
        <w:rPr>
          <w:rFonts w:hint="eastAsia"/>
          <w:color w:val="auto"/>
          <w:highlight w:val="none"/>
          <w:lang w:eastAsia="zh-CN"/>
        </w:rPr>
        <w:t>日期：</w:t>
      </w:r>
      <w:r>
        <w:rPr>
          <w:color w:val="auto"/>
          <w:highlight w:val="none"/>
          <w:u w:val="single"/>
          <w:lang w:eastAsia="zh-CN"/>
        </w:rPr>
        <w:t xml:space="preserve">    </w:t>
      </w:r>
      <w:r>
        <w:rPr>
          <w:color w:val="auto"/>
          <w:highlight w:val="none"/>
          <w:lang w:eastAsia="zh-CN"/>
        </w:rPr>
        <w:t>年</w:t>
      </w:r>
      <w:r>
        <w:rPr>
          <w:color w:val="auto"/>
          <w:highlight w:val="none"/>
          <w:u w:val="single"/>
          <w:lang w:eastAsia="zh-CN"/>
        </w:rPr>
        <w:t xml:space="preserve">    </w:t>
      </w:r>
      <w:r>
        <w:rPr>
          <w:color w:val="auto"/>
          <w:highlight w:val="none"/>
          <w:lang w:eastAsia="zh-CN"/>
        </w:rPr>
        <w:t>月</w:t>
      </w:r>
      <w:r>
        <w:rPr>
          <w:color w:val="auto"/>
          <w:highlight w:val="none"/>
          <w:u w:val="single"/>
          <w:lang w:eastAsia="zh-CN"/>
        </w:rPr>
        <w:t xml:space="preserve">    </w:t>
      </w:r>
      <w:r>
        <w:rPr>
          <w:color w:val="auto"/>
          <w:highlight w:val="none"/>
          <w:lang w:eastAsia="zh-CN"/>
        </w:rPr>
        <w:t>日</w:t>
      </w:r>
    </w:p>
    <w:p>
      <w:pPr>
        <w:pStyle w:val="356"/>
        <w:spacing w:line="240" w:lineRule="auto"/>
        <w:ind w:firstLine="0" w:firstLineChars="0"/>
        <w:rPr>
          <w:b/>
          <w:bCs/>
          <w:color w:val="auto"/>
          <w:sz w:val="21"/>
          <w:szCs w:val="21"/>
          <w:highlight w:val="none"/>
          <w:lang w:eastAsia="zh-CN"/>
        </w:rPr>
      </w:pPr>
    </w:p>
    <w:p>
      <w:pPr>
        <w:pStyle w:val="356"/>
        <w:spacing w:line="240" w:lineRule="auto"/>
        <w:ind w:firstLine="0" w:firstLineChars="0"/>
        <w:rPr>
          <w:b/>
          <w:bCs/>
          <w:color w:val="auto"/>
          <w:sz w:val="21"/>
          <w:szCs w:val="21"/>
          <w:highlight w:val="none"/>
          <w:lang w:eastAsia="zh-CN"/>
        </w:rPr>
      </w:pPr>
      <w:r>
        <w:rPr>
          <w:rFonts w:hint="eastAsia"/>
          <w:b/>
          <w:bCs/>
          <w:color w:val="auto"/>
          <w:sz w:val="21"/>
          <w:szCs w:val="21"/>
          <w:highlight w:val="none"/>
          <w:lang w:eastAsia="zh-CN"/>
        </w:rPr>
        <w:t>说明：</w:t>
      </w:r>
    </w:p>
    <w:p>
      <w:pPr>
        <w:spacing w:line="240" w:lineRule="auto"/>
        <w:ind w:firstLine="420" w:firstLineChars="200"/>
        <w:rPr>
          <w:rFonts w:ascii="宋体" w:hAnsi="宋体"/>
          <w:color w:val="auto"/>
          <w:szCs w:val="21"/>
          <w:highlight w:val="none"/>
        </w:rPr>
      </w:pPr>
      <w:bookmarkStart w:id="147" w:name="_Hlk103521840"/>
      <w:r>
        <w:rPr>
          <w:rFonts w:ascii="宋体" w:hAnsi="宋体"/>
          <w:color w:val="auto"/>
          <w:szCs w:val="21"/>
          <w:highlight w:val="none"/>
        </w:rPr>
        <w:t>1.</w:t>
      </w:r>
      <w:r>
        <w:rPr>
          <w:rFonts w:ascii="宋体" w:hAnsi="宋体"/>
          <w:color w:val="auto"/>
          <w:szCs w:val="21"/>
          <w:highlight w:val="none"/>
          <w:vertAlign w:val="superscript"/>
        </w:rPr>
        <w:t>1</w:t>
      </w:r>
      <w:r>
        <w:rPr>
          <w:rFonts w:ascii="宋体" w:hAnsi="宋体"/>
          <w:color w:val="auto"/>
          <w:szCs w:val="21"/>
          <w:highlight w:val="none"/>
        </w:rPr>
        <w:t>从业人员、营业收入、资产总额填报上一年度数据，无上一年度数据的新成立企业可不填报。</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2.针对属于专门面向中小企业采购的项目，供应商须提供本声明函。</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3.针对不属于专门面向中小企业采购的项目，</w:t>
      </w:r>
      <w:r>
        <w:rPr>
          <w:rFonts w:hint="eastAsia" w:ascii="宋体" w:hAnsi="宋体"/>
          <w:color w:val="auto"/>
          <w:szCs w:val="21"/>
          <w:highlight w:val="none"/>
        </w:rPr>
        <w:t>承建本项目工程为中小企业或者承接本项目服务为中小企业时</w:t>
      </w:r>
      <w:r>
        <w:rPr>
          <w:rFonts w:ascii="宋体" w:hAnsi="宋体"/>
          <w:color w:val="auto"/>
          <w:szCs w:val="21"/>
          <w:highlight w:val="none"/>
        </w:rPr>
        <w:t>，可选择提供本声明函，填写相应信息，并明确企业类型，否则评审时不能享受相应的价格扣除；如供应商认为其非中小企业的，则无须提供本声明函。</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4.供应商应当对其出具的《中小企业声明函》真实性负责，供应商出具的《中小企业声明函》内容不实的，属于虚假承诺，可能面临因提供虚假资料谋取中标（成交）被监管部门追究相关法律责任。请供应商务必依据规定谨慎提供声明，避免不必要的法律风险。</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5.</w:t>
      </w:r>
      <w:r>
        <w:rPr>
          <w:rFonts w:hint="eastAsia" w:ascii="宋体" w:hAnsi="宋体"/>
          <w:color w:val="auto"/>
          <w:szCs w:val="21"/>
          <w:highlight w:val="none"/>
        </w:rPr>
        <w:t>所属行业应符合采购文件中明确的本项目所属行业</w:t>
      </w:r>
      <w:r>
        <w:rPr>
          <w:rFonts w:ascii="宋体" w:hAnsi="宋体"/>
          <w:color w:val="auto"/>
          <w:szCs w:val="21"/>
          <w:highlight w:val="none"/>
        </w:rPr>
        <w:t>。</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 xml:space="preserve">6.供应商根据采购文件中明确的行业所对应的划分标准，判断其是否属于中小企业，如属于中小企业，请根据自身情况三选一（中型企业、小型企业、微型企业）填写。 </w:t>
      </w:r>
    </w:p>
    <w:p>
      <w:pPr>
        <w:spacing w:line="240" w:lineRule="auto"/>
        <w:jc w:val="left"/>
        <w:rPr>
          <w:rFonts w:ascii="宋体" w:hAnsi="宋体"/>
          <w:color w:val="auto"/>
          <w:sz w:val="28"/>
          <w:highlight w:val="none"/>
        </w:rPr>
      </w:pPr>
      <w:r>
        <w:rPr>
          <w:rFonts w:ascii="宋体" w:hAnsi="宋体"/>
          <w:color w:val="auto"/>
          <w:szCs w:val="21"/>
          <w:highlight w:val="none"/>
        </w:rPr>
        <w:t>7.为方便广大中小企业识别企业规模类型，可通过中小企业规模类型自测小程序（http://202.106.120.146/baosong/appweb/orgScale.html）进行查询</w:t>
      </w:r>
      <w:bookmarkEnd w:id="147"/>
      <w:r>
        <w:rPr>
          <w:rFonts w:ascii="宋体" w:hAnsi="宋体"/>
          <w:color w:val="auto"/>
          <w:szCs w:val="21"/>
          <w:highlight w:val="none"/>
        </w:rPr>
        <w:t>。</w:t>
      </w:r>
    </w:p>
    <w:p>
      <w:pPr>
        <w:rPr>
          <w:rFonts w:ascii="宋体" w:hAnsi="宋体"/>
          <w:b/>
          <w:bCs/>
          <w:color w:val="auto"/>
          <w:sz w:val="24"/>
          <w:highlight w:val="none"/>
        </w:rPr>
      </w:pPr>
      <w:bookmarkStart w:id="148" w:name="_Toc103033243"/>
      <w:r>
        <w:rPr>
          <w:rFonts w:ascii="宋体" w:hAnsi="宋体"/>
          <w:color w:val="auto"/>
          <w:sz w:val="24"/>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149" w:name="_Toc104040713"/>
      <w:r>
        <w:rPr>
          <w:rFonts w:hint="eastAsia" w:ascii="宋体" w:hAnsi="宋体"/>
          <w:color w:val="auto"/>
          <w:szCs w:val="24"/>
          <w:highlight w:val="none"/>
        </w:rPr>
        <w:t>监狱企业</w:t>
      </w:r>
      <w:bookmarkEnd w:id="148"/>
      <w:bookmarkEnd w:id="149"/>
    </w:p>
    <w:p>
      <w:pPr>
        <w:rPr>
          <w:rFonts w:ascii="宋体" w:hAnsi="宋体" w:cs="宋体"/>
          <w:i/>
          <w:iCs/>
          <w:color w:val="auto"/>
          <w:szCs w:val="21"/>
          <w:highlight w:val="none"/>
        </w:rPr>
      </w:pPr>
      <w:r>
        <w:rPr>
          <w:rFonts w:hint="eastAsia" w:ascii="宋体" w:hAnsi="宋体" w:cs="宋体"/>
          <w:i/>
          <w:iCs/>
          <w:color w:val="auto"/>
          <w:szCs w:val="21"/>
          <w:highlight w:val="none"/>
        </w:rPr>
        <w:t>（以下格式文件由供应商根据需要选用）</w:t>
      </w:r>
    </w:p>
    <w:p>
      <w:pPr>
        <w:pStyle w:val="2"/>
        <w:jc w:val="center"/>
        <w:rPr>
          <w:rFonts w:ascii="宋体" w:hAnsi="宋体"/>
          <w:b/>
          <w:bCs/>
          <w:color w:val="auto"/>
          <w:sz w:val="24"/>
          <w:szCs w:val="32"/>
          <w:highlight w:val="none"/>
        </w:rPr>
      </w:pPr>
      <w:r>
        <w:rPr>
          <w:rFonts w:hint="eastAsia" w:ascii="宋体" w:hAnsi="宋体"/>
          <w:b/>
          <w:bCs/>
          <w:color w:val="auto"/>
          <w:sz w:val="24"/>
          <w:szCs w:val="32"/>
          <w:highlight w:val="none"/>
        </w:rPr>
        <w:t>监狱企业</w:t>
      </w:r>
    </w:p>
    <w:p>
      <w:pPr>
        <w:pStyle w:val="2"/>
        <w:rPr>
          <w:rFonts w:ascii="宋体" w:hAnsi="宋体"/>
          <w:color w:val="auto"/>
          <w:highlight w:val="none"/>
        </w:rPr>
      </w:pPr>
    </w:p>
    <w:p>
      <w:pPr>
        <w:pStyle w:val="2"/>
        <w:rPr>
          <w:rFonts w:ascii="宋体" w:hAnsi="宋体"/>
          <w:color w:val="auto"/>
          <w:highlight w:val="none"/>
        </w:rPr>
      </w:pPr>
      <w:bookmarkStart w:id="150" w:name="_Hlk104159631"/>
      <w:r>
        <w:rPr>
          <w:rFonts w:ascii="宋体" w:hAnsi="宋体"/>
          <w:color w:val="auto"/>
          <w:highlight w:val="none"/>
        </w:rPr>
        <w:t>……</w:t>
      </w:r>
    </w:p>
    <w:p>
      <w:pPr>
        <w:pStyle w:val="2"/>
        <w:rPr>
          <w:rFonts w:ascii="宋体" w:hAnsi="宋体"/>
          <w:color w:val="auto"/>
          <w:highlight w:val="none"/>
        </w:rPr>
      </w:pPr>
    </w:p>
    <w:p>
      <w:pPr>
        <w:pStyle w:val="2"/>
        <w:spacing w:line="240" w:lineRule="auto"/>
        <w:rPr>
          <w:rFonts w:ascii="宋体" w:hAnsi="宋体"/>
          <w:color w:val="auto"/>
          <w:szCs w:val="20"/>
          <w:highlight w:val="none"/>
        </w:rPr>
      </w:pPr>
      <w:r>
        <w:rPr>
          <w:rFonts w:hint="eastAsia" w:ascii="宋体" w:hAnsi="宋体"/>
          <w:color w:val="auto"/>
          <w:szCs w:val="20"/>
          <w:highlight w:val="none"/>
        </w:rPr>
        <w:t>说明：</w:t>
      </w:r>
    </w:p>
    <w:p>
      <w:pPr>
        <w:pStyle w:val="2"/>
        <w:spacing w:line="240" w:lineRule="auto"/>
        <w:rPr>
          <w:rFonts w:ascii="宋体" w:hAnsi="宋体"/>
          <w:color w:val="auto"/>
          <w:szCs w:val="20"/>
          <w:highlight w:val="none"/>
        </w:rPr>
      </w:pPr>
      <w:r>
        <w:rPr>
          <w:rFonts w:hint="eastAsia" w:ascii="宋体" w:hAnsi="宋体"/>
          <w:color w:val="auto"/>
          <w:szCs w:val="20"/>
          <w:highlight w:val="none"/>
        </w:rPr>
        <w:t>1.监狱企业参加采购活动时，提供由监狱管理局、戒毒管理局（含新疆生产建设兵团）出具的属于监狱企业的证明文件；</w:t>
      </w:r>
    </w:p>
    <w:p>
      <w:pPr>
        <w:pStyle w:val="2"/>
        <w:spacing w:line="240" w:lineRule="auto"/>
        <w:rPr>
          <w:rFonts w:ascii="宋体" w:hAnsi="宋体"/>
          <w:color w:val="auto"/>
          <w:szCs w:val="20"/>
          <w:highlight w:val="none"/>
        </w:rPr>
      </w:pPr>
      <w:r>
        <w:rPr>
          <w:rFonts w:hint="eastAsia" w:ascii="宋体" w:hAnsi="宋体"/>
          <w:color w:val="auto"/>
          <w:szCs w:val="20"/>
          <w:highlight w:val="none"/>
        </w:rPr>
        <w:t>2.如供应商不属于监狱企业，则无须提供。</w:t>
      </w:r>
    </w:p>
    <w:bookmarkEnd w:id="150"/>
    <w:p>
      <w:pPr>
        <w:pStyle w:val="2"/>
        <w:rPr>
          <w:rFonts w:ascii="宋体" w:hAnsi="宋体"/>
          <w:color w:val="auto"/>
          <w:sz w:val="24"/>
          <w:highlight w:val="none"/>
        </w:rPr>
      </w:pPr>
    </w:p>
    <w:p>
      <w:pPr>
        <w:jc w:val="left"/>
        <w:rPr>
          <w:rFonts w:ascii="宋体" w:hAnsi="宋体"/>
          <w:color w:val="auto"/>
          <w:sz w:val="28"/>
          <w:highlight w:val="none"/>
        </w:rPr>
      </w:pPr>
    </w:p>
    <w:p>
      <w:pPr>
        <w:pStyle w:val="4"/>
        <w:keepNext w:val="0"/>
        <w:keepLines w:val="0"/>
        <w:numPr>
          <w:ilvl w:val="0"/>
          <w:numId w:val="27"/>
        </w:numPr>
        <w:spacing w:before="120" w:after="120" w:line="240" w:lineRule="auto"/>
        <w:rPr>
          <w:rFonts w:ascii="宋体" w:hAnsi="宋体"/>
          <w:color w:val="auto"/>
          <w:szCs w:val="24"/>
          <w:highlight w:val="none"/>
        </w:rPr>
      </w:pPr>
      <w:bookmarkStart w:id="151" w:name="_Toc104040714"/>
      <w:bookmarkStart w:id="152" w:name="_Toc103033244"/>
      <w:r>
        <w:rPr>
          <w:rFonts w:hint="eastAsia" w:ascii="宋体" w:hAnsi="宋体"/>
          <w:color w:val="auto"/>
          <w:szCs w:val="24"/>
          <w:highlight w:val="none"/>
        </w:rPr>
        <w:t>残疾人福利性单位声明</w:t>
      </w:r>
      <w:bookmarkEnd w:id="151"/>
      <w:bookmarkEnd w:id="152"/>
    </w:p>
    <w:p>
      <w:pPr>
        <w:rPr>
          <w:rFonts w:ascii="宋体" w:hAnsi="宋体" w:cs="宋体"/>
          <w:i/>
          <w:iCs/>
          <w:color w:val="auto"/>
          <w:szCs w:val="21"/>
          <w:highlight w:val="none"/>
        </w:rPr>
      </w:pPr>
      <w:r>
        <w:rPr>
          <w:rFonts w:hint="eastAsia" w:ascii="宋体" w:hAnsi="宋体" w:cs="宋体"/>
          <w:i/>
          <w:iCs/>
          <w:color w:val="auto"/>
          <w:szCs w:val="21"/>
          <w:highlight w:val="none"/>
        </w:rPr>
        <w:t>（以下格式文件由供应商根据需要选用）</w:t>
      </w:r>
    </w:p>
    <w:p>
      <w:pPr>
        <w:pStyle w:val="2"/>
        <w:jc w:val="center"/>
        <w:rPr>
          <w:rFonts w:ascii="宋体" w:hAnsi="宋体"/>
          <w:b/>
          <w:bCs/>
          <w:color w:val="auto"/>
          <w:sz w:val="24"/>
          <w:szCs w:val="32"/>
          <w:highlight w:val="none"/>
        </w:rPr>
      </w:pPr>
      <w:r>
        <w:rPr>
          <w:rFonts w:hint="eastAsia" w:ascii="宋体" w:hAnsi="宋体"/>
          <w:b/>
          <w:bCs/>
          <w:color w:val="auto"/>
          <w:sz w:val="24"/>
          <w:szCs w:val="32"/>
          <w:highlight w:val="none"/>
        </w:rPr>
        <w:t>残疾人福利性单位声明函</w:t>
      </w:r>
    </w:p>
    <w:p>
      <w:pPr>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本单位郑重声明，根据《财政部 民政部 中国残疾人联合会关于促进残疾人就业政府采购政策的通知》（财库</w:t>
      </w:r>
      <w:r>
        <w:rPr>
          <w:rFonts w:hint="eastAsia" w:ascii="宋体" w:hAnsi="宋体"/>
          <w:color w:val="auto"/>
          <w:sz w:val="24"/>
          <w:highlight w:val="none"/>
        </w:rPr>
        <w:t>〔2017〕141</w:t>
      </w:r>
      <w:r>
        <w:rPr>
          <w:rFonts w:hint="eastAsia" w:ascii="宋体" w:hAnsi="宋体"/>
          <w:color w:val="auto"/>
          <w:spacing w:val="6"/>
          <w:sz w:val="24"/>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本单位对上述声明的真实性负责。如有虚假，将依法承担相应责任。</w:t>
      </w:r>
    </w:p>
    <w:p>
      <w:pPr>
        <w:spacing w:line="588" w:lineRule="exact"/>
        <w:ind w:firstLine="504" w:firstLineChars="200"/>
        <w:rPr>
          <w:rFonts w:ascii="宋体" w:hAnsi="宋体"/>
          <w:color w:val="auto"/>
          <w:spacing w:val="6"/>
          <w:sz w:val="24"/>
          <w:highlight w:val="none"/>
        </w:rPr>
      </w:pPr>
    </w:p>
    <w:p>
      <w:pPr>
        <w:adjustRightInd w:val="0"/>
        <w:snapToGrid w:val="0"/>
        <w:spacing w:line="480" w:lineRule="auto"/>
        <w:ind w:right="91"/>
        <w:jc w:val="right"/>
        <w:rPr>
          <w:rFonts w:ascii="宋体" w:hAnsi="宋体"/>
          <w:color w:val="auto"/>
          <w:sz w:val="24"/>
          <w:highlight w:val="none"/>
          <w:u w:val="single"/>
        </w:rPr>
      </w:pPr>
      <w:r>
        <w:rPr>
          <w:rFonts w:hint="eastAsia" w:ascii="宋体" w:hAnsi="宋体"/>
          <w:color w:val="auto"/>
          <w:sz w:val="24"/>
          <w:highlight w:val="none"/>
        </w:rPr>
        <w:t>单位名称（盖章）：</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p>
    <w:p>
      <w:pPr>
        <w:adjustRightInd w:val="0"/>
        <w:snapToGrid w:val="0"/>
        <w:spacing w:line="480" w:lineRule="auto"/>
        <w:ind w:right="91"/>
        <w:jc w:val="right"/>
        <w:rPr>
          <w:rFonts w:ascii="宋体" w:hAnsi="宋体"/>
          <w:color w:val="auto"/>
          <w:sz w:val="24"/>
          <w:highlight w:val="none"/>
        </w:rPr>
      </w:pPr>
      <w:r>
        <w:rPr>
          <w:rFonts w:hint="eastAsia" w:ascii="宋体" w:hAnsi="宋体"/>
          <w:color w:val="auto"/>
          <w:sz w:val="24"/>
          <w:highlight w:val="none"/>
        </w:rPr>
        <w:t>日期：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tabs>
          <w:tab w:val="left" w:pos="4860"/>
        </w:tabs>
        <w:spacing w:line="588" w:lineRule="exact"/>
        <w:ind w:right="1560" w:firstLine="444" w:firstLineChars="200"/>
        <w:jc w:val="center"/>
        <w:rPr>
          <w:rFonts w:ascii="宋体" w:hAnsi="宋体"/>
          <w:color w:val="auto"/>
          <w:spacing w:val="6"/>
          <w:szCs w:val="21"/>
          <w:highlight w:val="none"/>
        </w:rPr>
      </w:pPr>
    </w:p>
    <w:p>
      <w:pPr>
        <w:pStyle w:val="2"/>
        <w:spacing w:line="240" w:lineRule="auto"/>
        <w:rPr>
          <w:rFonts w:ascii="宋体" w:hAnsi="宋体"/>
          <w:color w:val="auto"/>
          <w:szCs w:val="20"/>
          <w:highlight w:val="none"/>
        </w:rPr>
      </w:pPr>
      <w:r>
        <w:rPr>
          <w:rFonts w:hint="eastAsia" w:ascii="宋体" w:hAnsi="宋体"/>
          <w:color w:val="auto"/>
          <w:szCs w:val="20"/>
          <w:highlight w:val="none"/>
        </w:rPr>
        <w:t>说明：</w:t>
      </w:r>
    </w:p>
    <w:p>
      <w:pPr>
        <w:pStyle w:val="2"/>
        <w:spacing w:line="240" w:lineRule="auto"/>
        <w:rPr>
          <w:rFonts w:ascii="宋体" w:hAnsi="宋体"/>
          <w:color w:val="auto"/>
          <w:szCs w:val="20"/>
          <w:highlight w:val="none"/>
        </w:rPr>
      </w:pPr>
      <w:r>
        <w:rPr>
          <w:rFonts w:ascii="宋体" w:hAnsi="宋体"/>
          <w:color w:val="auto"/>
          <w:szCs w:val="20"/>
          <w:highlight w:val="none"/>
        </w:rPr>
        <w:t>1.</w:t>
      </w:r>
      <w:r>
        <w:rPr>
          <w:rFonts w:hint="eastAsia" w:ascii="宋体" w:hAnsi="宋体"/>
          <w:color w:val="auto"/>
          <w:szCs w:val="20"/>
          <w:highlight w:val="none"/>
        </w:rPr>
        <w:t>本函未填写或未勾选视作未做声明</w:t>
      </w:r>
    </w:p>
    <w:p>
      <w:pPr>
        <w:pStyle w:val="2"/>
        <w:spacing w:line="240" w:lineRule="auto"/>
        <w:rPr>
          <w:rFonts w:ascii="宋体" w:hAnsi="宋体"/>
          <w:color w:val="auto"/>
          <w:szCs w:val="20"/>
          <w:highlight w:val="none"/>
        </w:rPr>
      </w:pPr>
      <w:r>
        <w:rPr>
          <w:rFonts w:hint="eastAsia" w:ascii="宋体" w:hAnsi="宋体"/>
          <w:color w:val="auto"/>
          <w:szCs w:val="20"/>
          <w:highlight w:val="none"/>
        </w:rPr>
        <w:t>2</w:t>
      </w:r>
      <w:r>
        <w:rPr>
          <w:rFonts w:ascii="宋体" w:hAnsi="宋体"/>
          <w:color w:val="auto"/>
          <w:szCs w:val="20"/>
          <w:highlight w:val="none"/>
        </w:rPr>
        <w:t>.</w:t>
      </w:r>
      <w:r>
        <w:rPr>
          <w:rFonts w:hint="eastAsia" w:ascii="宋体" w:hAnsi="宋体"/>
          <w:color w:val="auto"/>
          <w:szCs w:val="20"/>
          <w:highlight w:val="none"/>
        </w:rPr>
        <w:t>如供应商不属于残疾人福利单位，则无须提供。</w:t>
      </w:r>
    </w:p>
    <w:p>
      <w:pPr>
        <w:rPr>
          <w:rFonts w:ascii="宋体" w:hAnsi="宋体"/>
          <w:color w:val="auto"/>
          <w:highlight w:val="none"/>
        </w:rPr>
      </w:pPr>
      <w:r>
        <w:rPr>
          <w:rFonts w:ascii="宋体" w:hAnsi="宋体"/>
          <w:color w:val="auto"/>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153" w:name="_Toc104040715"/>
      <w:r>
        <w:rPr>
          <w:rFonts w:hint="eastAsia" w:ascii="宋体" w:hAnsi="宋体"/>
          <w:color w:val="auto"/>
          <w:szCs w:val="24"/>
          <w:highlight w:val="none"/>
        </w:rPr>
        <w:t>联合体共同响应协议书</w:t>
      </w:r>
      <w:bookmarkEnd w:id="153"/>
    </w:p>
    <w:p>
      <w:pPr>
        <w:rPr>
          <w:rFonts w:ascii="宋体" w:hAnsi="宋体" w:cs="宋体"/>
          <w:i/>
          <w:iCs/>
          <w:color w:val="auto"/>
          <w:szCs w:val="21"/>
          <w:highlight w:val="none"/>
        </w:rPr>
      </w:pPr>
      <w:r>
        <w:rPr>
          <w:rFonts w:hint="eastAsia" w:ascii="宋体" w:hAnsi="宋体" w:cs="宋体"/>
          <w:i/>
          <w:iCs/>
          <w:color w:val="auto"/>
          <w:szCs w:val="21"/>
          <w:highlight w:val="none"/>
        </w:rPr>
        <w:t>（以下格式文件由供应商根据需要选用）</w:t>
      </w:r>
    </w:p>
    <w:p>
      <w:pPr>
        <w:pStyle w:val="2"/>
        <w:jc w:val="center"/>
        <w:rPr>
          <w:rFonts w:ascii="宋体" w:hAnsi="宋体"/>
          <w:b/>
          <w:bCs/>
          <w:color w:val="auto"/>
          <w:sz w:val="24"/>
          <w:szCs w:val="32"/>
          <w:highlight w:val="none"/>
        </w:rPr>
      </w:pPr>
      <w:r>
        <w:rPr>
          <w:rFonts w:hint="eastAsia" w:ascii="宋体" w:hAnsi="宋体"/>
          <w:b/>
          <w:bCs/>
          <w:color w:val="auto"/>
          <w:sz w:val="24"/>
          <w:szCs w:val="32"/>
          <w:highlight w:val="none"/>
        </w:rPr>
        <w:t>联合体共同响应协议书</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立约方：</w:t>
      </w:r>
      <w:r>
        <w:rPr>
          <w:rFonts w:hint="eastAsia" w:ascii="宋体" w:hAnsi="宋体"/>
          <w:color w:val="auto"/>
          <w:sz w:val="24"/>
          <w:szCs w:val="32"/>
          <w:highlight w:val="none"/>
          <w:u w:val="single"/>
        </w:rPr>
        <w:t>（甲公司全称）</w:t>
      </w:r>
    </w:p>
    <w:p>
      <w:pPr>
        <w:ind w:firstLine="480" w:firstLineChars="200"/>
        <w:rPr>
          <w:rFonts w:ascii="宋体" w:hAnsi="宋体"/>
          <w:color w:val="auto"/>
          <w:sz w:val="24"/>
          <w:szCs w:val="32"/>
          <w:highlight w:val="none"/>
          <w:u w:val="single"/>
        </w:rPr>
      </w:pPr>
      <w:r>
        <w:rPr>
          <w:rFonts w:hint="eastAsia" w:ascii="宋体" w:hAnsi="宋体"/>
          <w:color w:val="auto"/>
          <w:sz w:val="24"/>
          <w:szCs w:val="32"/>
          <w:highlight w:val="none"/>
          <w:u w:val="single"/>
        </w:rPr>
        <w:t>（乙公司全称）</w:t>
      </w:r>
    </w:p>
    <w:p>
      <w:pPr>
        <w:ind w:firstLine="480" w:firstLineChars="200"/>
        <w:rPr>
          <w:rFonts w:ascii="宋体" w:hAnsi="宋体"/>
          <w:color w:val="auto"/>
          <w:sz w:val="24"/>
          <w:szCs w:val="32"/>
          <w:highlight w:val="none"/>
          <w:u w:val="single"/>
        </w:rPr>
      </w:pPr>
      <w:r>
        <w:rPr>
          <w:rFonts w:hint="eastAsia" w:ascii="宋体" w:hAnsi="宋体"/>
          <w:color w:val="auto"/>
          <w:sz w:val="24"/>
          <w:szCs w:val="32"/>
          <w:highlight w:val="none"/>
          <w:u w:val="single"/>
        </w:rPr>
        <w:t>（……公司全称）</w:t>
      </w:r>
    </w:p>
    <w:p>
      <w:pPr>
        <w:ind w:left="210" w:leftChars="100" w:firstLine="240" w:firstLineChars="100"/>
        <w:rPr>
          <w:rFonts w:ascii="宋体" w:hAnsi="宋体"/>
          <w:color w:val="auto"/>
          <w:sz w:val="24"/>
          <w:szCs w:val="32"/>
          <w:highlight w:val="none"/>
        </w:rPr>
      </w:pP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（甲公司全称）、（乙公司全称）、（……公司全称）</w:t>
      </w:r>
      <w:r>
        <w:rPr>
          <w:rFonts w:hint="eastAsia" w:ascii="宋体" w:hAnsi="宋体"/>
          <w:color w:val="auto"/>
          <w:sz w:val="24"/>
          <w:szCs w:val="32"/>
          <w:highlight w:val="none"/>
        </w:rPr>
        <w:t>自愿组成联合体，以一个供应商的身份共同参加</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（项目名称）（项目编号）</w:t>
      </w:r>
      <w:r>
        <w:rPr>
          <w:rFonts w:hint="eastAsia" w:ascii="宋体" w:hAnsi="宋体"/>
          <w:color w:val="auto"/>
          <w:sz w:val="24"/>
          <w:szCs w:val="32"/>
          <w:highlight w:val="none"/>
        </w:rPr>
        <w:t xml:space="preserve">的响应活动。经各方充分协商一致，就项目的响应和合同实施阶段的有关事务协商一致订立协议如下：     </w:t>
      </w:r>
    </w:p>
    <w:p>
      <w:pPr>
        <w:ind w:left="210" w:leftChars="100" w:firstLine="240" w:firstLineChars="100"/>
        <w:rPr>
          <w:rFonts w:ascii="宋体" w:hAnsi="宋体"/>
          <w:color w:val="auto"/>
          <w:sz w:val="24"/>
          <w:szCs w:val="32"/>
          <w:highlight w:val="none"/>
        </w:rPr>
      </w:pPr>
      <w:r>
        <w:rPr>
          <w:rFonts w:hint="eastAsia" w:ascii="宋体" w:hAnsi="宋体"/>
          <w:color w:val="auto"/>
          <w:sz w:val="24"/>
          <w:szCs w:val="32"/>
          <w:highlight w:val="none"/>
        </w:rPr>
        <w:t>一、联合体各方关系</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（甲公司全称）、（乙公司全称）、（……公司全称）</w:t>
      </w:r>
      <w:r>
        <w:rPr>
          <w:rFonts w:hint="eastAsia" w:ascii="宋体" w:hAnsi="宋体"/>
          <w:color w:val="auto"/>
          <w:sz w:val="24"/>
          <w:szCs w:val="32"/>
          <w:highlight w:val="none"/>
        </w:rPr>
        <w:t>共同组成一个联合体，以一个供应商的身份共同参加本项目的响应。</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（甲公司全称）、（乙公司全称）、（……公司全称）</w:t>
      </w:r>
      <w:r>
        <w:rPr>
          <w:rFonts w:hint="eastAsia" w:ascii="宋体" w:hAnsi="宋体"/>
          <w:color w:val="auto"/>
          <w:sz w:val="24"/>
          <w:szCs w:val="32"/>
          <w:highlight w:val="none"/>
        </w:rPr>
        <w:t>作为联合体成员，若成交，联合体各方共同与签订采购合同。</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二、联合体内部有关事项约定如下：</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1.</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（甲公司全称）</w:t>
      </w:r>
      <w:r>
        <w:rPr>
          <w:rFonts w:hint="eastAsia" w:ascii="宋体" w:hAnsi="宋体"/>
          <w:color w:val="auto"/>
          <w:sz w:val="24"/>
          <w:szCs w:val="32"/>
          <w:highlight w:val="none"/>
        </w:rPr>
        <w:t>作为联合体的牵头单位，代表联合体双方负责响应和合同实施阶段的主办、协调工作。</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2.联合体将严格按照文件的各项要求，递交响应文件，切实执行一切合同文件，共同承担合同规定的一切义务和责任，同时按照内部职责的划分，承担自身所负的责任和风险，在法律在承担连带责任。</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3.如果本联合体成交，</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（甲公司全称）</w:t>
      </w:r>
      <w:r>
        <w:rPr>
          <w:rFonts w:hint="eastAsia" w:ascii="宋体" w:hAnsi="宋体"/>
          <w:color w:val="auto"/>
          <w:sz w:val="24"/>
          <w:szCs w:val="32"/>
          <w:highlight w:val="none"/>
        </w:rPr>
        <w:t>负责本项目</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rPr>
        <w:t>部分，</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（乙公司全称）</w:t>
      </w:r>
      <w:r>
        <w:rPr>
          <w:rFonts w:hint="eastAsia" w:ascii="宋体" w:hAnsi="宋体"/>
          <w:color w:val="auto"/>
          <w:sz w:val="24"/>
          <w:szCs w:val="32"/>
          <w:highlight w:val="none"/>
        </w:rPr>
        <w:t>负责本项目</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rPr>
        <w:t>部分。</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4.如成交，联合体各方共同与</w:t>
      </w:r>
      <w:r>
        <w:rPr>
          <w:rFonts w:hint="eastAsia"/>
          <w:color w:val="auto"/>
          <w:szCs w:val="21"/>
          <w:highlight w:val="none"/>
          <w:u w:val="single"/>
        </w:rPr>
        <w:t xml:space="preserve"> </w:t>
      </w:r>
      <w:r>
        <w:rPr>
          <w:color w:val="auto"/>
          <w:szCs w:val="21"/>
          <w:highlight w:val="none"/>
          <w:u w:val="single"/>
        </w:rPr>
        <w:t xml:space="preserve">  </w:t>
      </w:r>
      <w:r>
        <w:rPr>
          <w:rFonts w:hint="eastAsia"/>
          <w:color w:val="auto"/>
          <w:szCs w:val="21"/>
          <w:highlight w:val="none"/>
          <w:u w:val="single"/>
        </w:rPr>
        <w:t>（</w:t>
      </w:r>
      <w:r>
        <w:rPr>
          <w:rFonts w:hint="eastAsia" w:ascii="宋体" w:hAnsi="宋体"/>
          <w:color w:val="auto"/>
          <w:sz w:val="24"/>
          <w:szCs w:val="32"/>
          <w:highlight w:val="none"/>
          <w:u w:val="single"/>
        </w:rPr>
        <w:t>采购人</w:t>
      </w:r>
      <w:r>
        <w:rPr>
          <w:rFonts w:hint="eastAsia"/>
          <w:color w:val="auto"/>
          <w:szCs w:val="21"/>
          <w:highlight w:val="none"/>
          <w:u w:val="single"/>
        </w:rPr>
        <w:t>）</w:t>
      </w:r>
      <w:r>
        <w:rPr>
          <w:rFonts w:hint="eastAsia" w:ascii="宋体" w:hAnsi="宋体"/>
          <w:color w:val="auto"/>
          <w:sz w:val="24"/>
          <w:szCs w:val="32"/>
          <w:highlight w:val="none"/>
        </w:rPr>
        <w:t>签订合同书，并就成交项目向采购人负责有连带的和各自的法律责任；</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5.联合体成员</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（公司全称）</w:t>
      </w:r>
      <w:r>
        <w:rPr>
          <w:rFonts w:hint="eastAsia" w:ascii="宋体" w:hAnsi="宋体"/>
          <w:color w:val="auto"/>
          <w:sz w:val="24"/>
          <w:szCs w:val="32"/>
          <w:highlight w:val="none"/>
        </w:rPr>
        <w:t>为</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（请填写：小型、微型）</w:t>
      </w:r>
      <w:r>
        <w:rPr>
          <w:rFonts w:hint="eastAsia" w:ascii="宋体" w:hAnsi="宋体"/>
          <w:color w:val="auto"/>
          <w:sz w:val="24"/>
          <w:szCs w:val="32"/>
          <w:highlight w:val="none"/>
        </w:rPr>
        <w:t>企业，将承担合同总金额</w:t>
      </w:r>
      <w:r>
        <w:rPr>
          <w:rFonts w:ascii="宋体" w:hAnsi="宋体"/>
          <w:color w:val="auto"/>
          <w:sz w:val="24"/>
          <w:szCs w:val="32"/>
          <w:highlight w:val="none"/>
          <w:u w:val="single"/>
        </w:rPr>
        <w:t xml:space="preserve">   </w:t>
      </w:r>
      <w:r>
        <w:rPr>
          <w:rFonts w:hint="eastAsia" w:ascii="宋体" w:hAnsi="宋体"/>
          <w:color w:val="auto"/>
          <w:sz w:val="24"/>
          <w:szCs w:val="32"/>
          <w:highlight w:val="none"/>
        </w:rPr>
        <w:tab/>
      </w:r>
      <w:r>
        <w:rPr>
          <w:rFonts w:hint="eastAsia" w:ascii="宋体" w:hAnsi="宋体"/>
          <w:color w:val="auto"/>
          <w:sz w:val="24"/>
          <w:szCs w:val="32"/>
          <w:highlight w:val="none"/>
        </w:rPr>
        <w:t>%的工作内容（联合体成员中有小型、微型企业时适用）。</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四、联合体如因违约过失责任而导致采购人经济损失或被索赔时，本联合体任何一方均同意无条件优先清偿采购人的一切债务和经济赔偿。</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五、本协议在自签署之日起生效，有效期内有效，如获成交资格，合同有效期延续至合同履行完毕之日。</w:t>
      </w:r>
    </w:p>
    <w:p>
      <w:pPr>
        <w:ind w:firstLine="480" w:firstLineChars="200"/>
        <w:rPr>
          <w:rFonts w:ascii="宋体" w:hAnsi="宋体"/>
          <w:color w:val="auto"/>
          <w:sz w:val="24"/>
          <w:szCs w:val="32"/>
          <w:highlight w:val="none"/>
        </w:rPr>
      </w:pPr>
      <w:r>
        <w:rPr>
          <w:rFonts w:hint="eastAsia" w:ascii="宋体" w:hAnsi="宋体"/>
          <w:color w:val="auto"/>
          <w:sz w:val="24"/>
          <w:szCs w:val="32"/>
          <w:highlight w:val="none"/>
        </w:rPr>
        <w:t>六、本协议书正本一式</w:t>
      </w:r>
      <w:r>
        <w:rPr>
          <w:rFonts w:ascii="宋体" w:hAnsi="宋体"/>
          <w:color w:val="auto"/>
          <w:sz w:val="24"/>
          <w:szCs w:val="32"/>
          <w:highlight w:val="none"/>
          <w:u w:val="single"/>
        </w:rPr>
        <w:t xml:space="preserve">    </w:t>
      </w:r>
      <w:r>
        <w:rPr>
          <w:rFonts w:hint="eastAsia" w:ascii="宋体" w:hAnsi="宋体"/>
          <w:color w:val="auto"/>
          <w:sz w:val="24"/>
          <w:szCs w:val="32"/>
          <w:highlight w:val="none"/>
        </w:rPr>
        <w:t>份，随响应文件装订</w:t>
      </w:r>
      <w:r>
        <w:rPr>
          <w:rFonts w:ascii="宋体" w:hAnsi="宋体"/>
          <w:color w:val="auto"/>
          <w:sz w:val="24"/>
          <w:szCs w:val="32"/>
          <w:highlight w:val="none"/>
          <w:u w:val="single"/>
        </w:rPr>
        <w:t xml:space="preserve">    </w:t>
      </w:r>
      <w:r>
        <w:rPr>
          <w:rFonts w:hint="eastAsia" w:ascii="宋体" w:hAnsi="宋体"/>
          <w:color w:val="auto"/>
          <w:sz w:val="24"/>
          <w:szCs w:val="32"/>
          <w:highlight w:val="none"/>
        </w:rPr>
        <w:t>份，送采购人</w:t>
      </w:r>
      <w:r>
        <w:rPr>
          <w:rFonts w:ascii="宋体" w:hAnsi="宋体"/>
          <w:color w:val="auto"/>
          <w:sz w:val="24"/>
          <w:szCs w:val="32"/>
          <w:highlight w:val="none"/>
          <w:u w:val="single"/>
        </w:rPr>
        <w:t xml:space="preserve">    </w:t>
      </w:r>
      <w:r>
        <w:rPr>
          <w:rFonts w:hint="eastAsia" w:ascii="宋体" w:hAnsi="宋体"/>
          <w:color w:val="auto"/>
          <w:sz w:val="24"/>
          <w:szCs w:val="32"/>
          <w:highlight w:val="none"/>
        </w:rPr>
        <w:t>份，联合体成员各一份；副本一式</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rPr>
        <w:tab/>
      </w:r>
      <w:r>
        <w:rPr>
          <w:rFonts w:hint="eastAsia" w:ascii="宋体" w:hAnsi="宋体"/>
          <w:color w:val="auto"/>
          <w:sz w:val="24"/>
          <w:szCs w:val="32"/>
          <w:highlight w:val="none"/>
        </w:rPr>
        <w:t>份，联合体成员各执</w:t>
      </w:r>
      <w:r>
        <w:rPr>
          <w:rFonts w:ascii="宋体" w:hAnsi="宋体"/>
          <w:color w:val="auto"/>
          <w:sz w:val="24"/>
          <w:szCs w:val="32"/>
          <w:highlight w:val="none"/>
          <w:u w:val="single"/>
        </w:rPr>
        <w:t xml:space="preserve">    </w:t>
      </w:r>
      <w:r>
        <w:rPr>
          <w:rFonts w:hint="eastAsia" w:ascii="宋体" w:hAnsi="宋体"/>
          <w:color w:val="auto"/>
          <w:sz w:val="24"/>
          <w:szCs w:val="32"/>
          <w:highlight w:val="none"/>
        </w:rPr>
        <w:t>份。</w:t>
      </w:r>
    </w:p>
    <w:p>
      <w:pPr>
        <w:pStyle w:val="2"/>
        <w:rPr>
          <w:rFonts w:ascii="宋体" w:hAnsi="宋体"/>
          <w:color w:val="auto"/>
          <w:highlight w:val="none"/>
        </w:rPr>
      </w:pPr>
    </w:p>
    <w:p>
      <w:pPr>
        <w:pStyle w:val="2"/>
        <w:rPr>
          <w:rFonts w:ascii="宋体" w:hAnsi="宋体"/>
          <w:color w:val="auto"/>
          <w:highlight w:val="none"/>
        </w:rPr>
      </w:pPr>
    </w:p>
    <w:p>
      <w:pPr>
        <w:rPr>
          <w:rFonts w:ascii="宋体" w:hAnsi="宋体"/>
          <w:color w:val="auto"/>
          <w:sz w:val="24"/>
          <w:szCs w:val="32"/>
          <w:highlight w:val="none"/>
        </w:rPr>
      </w:pPr>
      <w:r>
        <w:rPr>
          <w:rFonts w:hint="eastAsia" w:ascii="宋体" w:hAnsi="宋体"/>
          <w:color w:val="auto"/>
          <w:sz w:val="24"/>
          <w:szCs w:val="32"/>
          <w:highlight w:val="none"/>
        </w:rPr>
        <w:t>甲公司全称：</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ab/>
      </w:r>
      <w:r>
        <w:rPr>
          <w:rFonts w:hint="eastAsia" w:ascii="宋体" w:hAnsi="宋体"/>
          <w:color w:val="auto"/>
          <w:sz w:val="24"/>
          <w:szCs w:val="32"/>
          <w:highlight w:val="none"/>
          <w:u w:val="single"/>
        </w:rPr>
        <w:t xml:space="preserve">（盖章）  </w:t>
      </w:r>
      <w:r>
        <w:rPr>
          <w:rFonts w:ascii="宋体" w:hAnsi="宋体"/>
          <w:color w:val="auto"/>
          <w:sz w:val="24"/>
          <w:szCs w:val="32"/>
          <w:highlight w:val="none"/>
          <w:u w:val="single"/>
        </w:rPr>
        <w:t xml:space="preserve"> </w:t>
      </w:r>
    </w:p>
    <w:p>
      <w:pPr>
        <w:rPr>
          <w:rFonts w:ascii="宋体" w:hAnsi="宋体"/>
          <w:color w:val="auto"/>
          <w:sz w:val="24"/>
          <w:szCs w:val="32"/>
          <w:highlight w:val="none"/>
        </w:rPr>
      </w:pPr>
      <w:r>
        <w:rPr>
          <w:rFonts w:hint="eastAsia" w:ascii="宋体" w:hAnsi="宋体"/>
          <w:color w:val="auto"/>
          <w:sz w:val="24"/>
          <w:szCs w:val="32"/>
          <w:highlight w:val="none"/>
        </w:rPr>
        <w:t xml:space="preserve"> </w:t>
      </w:r>
      <w:r>
        <w:rPr>
          <w:rFonts w:ascii="宋体" w:hAnsi="宋体"/>
          <w:color w:val="auto"/>
          <w:sz w:val="24"/>
          <w:szCs w:val="32"/>
          <w:highlight w:val="none"/>
        </w:rPr>
        <w:t xml:space="preserve">           </w:t>
      </w:r>
      <w:r>
        <w:rPr>
          <w:rFonts w:hint="eastAsia" w:ascii="宋体" w:hAnsi="宋体"/>
          <w:color w:val="auto"/>
          <w:sz w:val="24"/>
          <w:szCs w:val="32"/>
          <w:highlight w:val="none"/>
        </w:rPr>
        <w:t xml:space="preserve">年 </w:t>
      </w:r>
      <w:r>
        <w:rPr>
          <w:rFonts w:hint="eastAsia" w:ascii="宋体" w:hAnsi="宋体"/>
          <w:color w:val="auto"/>
          <w:sz w:val="24"/>
          <w:szCs w:val="32"/>
          <w:highlight w:val="none"/>
        </w:rPr>
        <w:tab/>
      </w:r>
      <w:r>
        <w:rPr>
          <w:rFonts w:ascii="宋体" w:hAnsi="宋体"/>
          <w:color w:val="auto"/>
          <w:sz w:val="24"/>
          <w:szCs w:val="32"/>
          <w:highlight w:val="none"/>
        </w:rPr>
        <w:t xml:space="preserve">  </w:t>
      </w:r>
      <w:r>
        <w:rPr>
          <w:rFonts w:hint="eastAsia" w:ascii="宋体" w:hAnsi="宋体"/>
          <w:color w:val="auto"/>
          <w:sz w:val="24"/>
          <w:szCs w:val="32"/>
          <w:highlight w:val="none"/>
        </w:rPr>
        <w:t xml:space="preserve">月 </w:t>
      </w:r>
      <w:r>
        <w:rPr>
          <w:rFonts w:hint="eastAsia" w:ascii="宋体" w:hAnsi="宋体"/>
          <w:color w:val="auto"/>
          <w:sz w:val="24"/>
          <w:szCs w:val="32"/>
          <w:highlight w:val="none"/>
        </w:rPr>
        <w:tab/>
      </w:r>
      <w:r>
        <w:rPr>
          <w:rFonts w:ascii="宋体" w:hAnsi="宋体"/>
          <w:color w:val="auto"/>
          <w:sz w:val="24"/>
          <w:szCs w:val="32"/>
          <w:highlight w:val="none"/>
        </w:rPr>
        <w:t xml:space="preserve">  </w:t>
      </w:r>
      <w:r>
        <w:rPr>
          <w:rFonts w:hint="eastAsia" w:ascii="宋体" w:hAnsi="宋体"/>
          <w:color w:val="auto"/>
          <w:sz w:val="24"/>
          <w:szCs w:val="32"/>
          <w:highlight w:val="none"/>
        </w:rPr>
        <w:t>日</w:t>
      </w:r>
    </w:p>
    <w:p>
      <w:pPr>
        <w:rPr>
          <w:rFonts w:ascii="宋体" w:hAnsi="宋体"/>
          <w:color w:val="auto"/>
          <w:sz w:val="24"/>
          <w:szCs w:val="32"/>
          <w:highlight w:val="none"/>
        </w:rPr>
      </w:pPr>
    </w:p>
    <w:p>
      <w:pPr>
        <w:rPr>
          <w:rFonts w:ascii="宋体" w:hAnsi="宋体"/>
          <w:color w:val="auto"/>
          <w:sz w:val="24"/>
          <w:szCs w:val="32"/>
          <w:highlight w:val="none"/>
        </w:rPr>
      </w:pPr>
      <w:r>
        <w:rPr>
          <w:rFonts w:hint="eastAsia" w:ascii="宋体" w:hAnsi="宋体"/>
          <w:color w:val="auto"/>
          <w:sz w:val="24"/>
          <w:szCs w:val="32"/>
          <w:highlight w:val="none"/>
        </w:rPr>
        <w:t>乙公司全称：</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ab/>
      </w:r>
      <w:r>
        <w:rPr>
          <w:rFonts w:hint="eastAsia" w:ascii="宋体" w:hAnsi="宋体"/>
          <w:color w:val="auto"/>
          <w:sz w:val="24"/>
          <w:szCs w:val="32"/>
          <w:highlight w:val="none"/>
          <w:u w:val="single"/>
        </w:rPr>
        <w:t xml:space="preserve">（盖章）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 xml:space="preserve"> </w:t>
      </w:r>
    </w:p>
    <w:p>
      <w:pPr>
        <w:rPr>
          <w:rFonts w:ascii="宋体" w:hAnsi="宋体"/>
          <w:color w:val="auto"/>
          <w:sz w:val="24"/>
          <w:szCs w:val="32"/>
          <w:highlight w:val="none"/>
        </w:rPr>
      </w:pPr>
      <w:r>
        <w:rPr>
          <w:rFonts w:hint="eastAsia" w:ascii="宋体" w:hAnsi="宋体"/>
          <w:color w:val="auto"/>
          <w:sz w:val="24"/>
          <w:szCs w:val="32"/>
          <w:highlight w:val="none"/>
        </w:rPr>
        <w:t xml:space="preserve"> </w:t>
      </w:r>
      <w:r>
        <w:rPr>
          <w:rFonts w:ascii="宋体" w:hAnsi="宋体"/>
          <w:color w:val="auto"/>
          <w:sz w:val="24"/>
          <w:szCs w:val="32"/>
          <w:highlight w:val="none"/>
        </w:rPr>
        <w:t xml:space="preserve">          </w:t>
      </w:r>
      <w:r>
        <w:rPr>
          <w:rFonts w:hint="eastAsia" w:ascii="宋体" w:hAnsi="宋体"/>
          <w:color w:val="auto"/>
          <w:sz w:val="24"/>
          <w:szCs w:val="32"/>
          <w:highlight w:val="none"/>
        </w:rPr>
        <w:t xml:space="preserve"> </w:t>
      </w:r>
      <w:r>
        <w:rPr>
          <w:rFonts w:hint="eastAsia" w:ascii="宋体" w:hAnsi="宋体"/>
          <w:color w:val="auto"/>
          <w:sz w:val="24"/>
          <w:szCs w:val="32"/>
          <w:highlight w:val="none"/>
        </w:rPr>
        <w:tab/>
      </w:r>
      <w:r>
        <w:rPr>
          <w:rFonts w:hint="eastAsia" w:ascii="宋体" w:hAnsi="宋体"/>
          <w:color w:val="auto"/>
          <w:sz w:val="24"/>
          <w:szCs w:val="32"/>
          <w:highlight w:val="none"/>
        </w:rPr>
        <w:t xml:space="preserve">年 </w:t>
      </w:r>
      <w:r>
        <w:rPr>
          <w:rFonts w:ascii="宋体" w:hAnsi="宋体"/>
          <w:color w:val="auto"/>
          <w:sz w:val="24"/>
          <w:szCs w:val="32"/>
          <w:highlight w:val="none"/>
        </w:rPr>
        <w:t xml:space="preserve">  </w:t>
      </w:r>
      <w:r>
        <w:rPr>
          <w:rFonts w:hint="eastAsia" w:ascii="宋体" w:hAnsi="宋体"/>
          <w:color w:val="auto"/>
          <w:sz w:val="24"/>
          <w:szCs w:val="32"/>
          <w:highlight w:val="none"/>
        </w:rPr>
        <w:tab/>
      </w:r>
      <w:r>
        <w:rPr>
          <w:rFonts w:hint="eastAsia" w:ascii="宋体" w:hAnsi="宋体"/>
          <w:color w:val="auto"/>
          <w:sz w:val="24"/>
          <w:szCs w:val="32"/>
          <w:highlight w:val="none"/>
        </w:rPr>
        <w:t xml:space="preserve">月 </w:t>
      </w:r>
      <w:r>
        <w:rPr>
          <w:rFonts w:ascii="宋体" w:hAnsi="宋体"/>
          <w:color w:val="auto"/>
          <w:sz w:val="24"/>
          <w:szCs w:val="32"/>
          <w:highlight w:val="none"/>
        </w:rPr>
        <w:t xml:space="preserve">  </w:t>
      </w:r>
      <w:r>
        <w:rPr>
          <w:rFonts w:hint="eastAsia" w:ascii="宋体" w:hAnsi="宋体"/>
          <w:color w:val="auto"/>
          <w:sz w:val="24"/>
          <w:szCs w:val="32"/>
          <w:highlight w:val="none"/>
        </w:rPr>
        <w:tab/>
      </w:r>
      <w:r>
        <w:rPr>
          <w:rFonts w:hint="eastAsia" w:ascii="宋体" w:hAnsi="宋体"/>
          <w:color w:val="auto"/>
          <w:sz w:val="24"/>
          <w:szCs w:val="32"/>
          <w:highlight w:val="none"/>
        </w:rPr>
        <w:t>日</w:t>
      </w:r>
    </w:p>
    <w:p>
      <w:pPr>
        <w:pStyle w:val="2"/>
        <w:rPr>
          <w:rFonts w:ascii="宋体" w:hAnsi="宋体"/>
          <w:color w:val="auto"/>
          <w:highlight w:val="none"/>
        </w:rPr>
      </w:pPr>
    </w:p>
    <w:p>
      <w:pPr>
        <w:rPr>
          <w:rFonts w:ascii="宋体" w:hAnsi="宋体"/>
          <w:color w:val="auto"/>
          <w:sz w:val="24"/>
          <w:szCs w:val="32"/>
          <w:highlight w:val="none"/>
        </w:rPr>
      </w:pPr>
      <w:r>
        <w:rPr>
          <w:rFonts w:hint="eastAsia" w:ascii="宋体" w:hAnsi="宋体"/>
          <w:color w:val="auto"/>
          <w:sz w:val="24"/>
          <w:szCs w:val="32"/>
          <w:highlight w:val="none"/>
        </w:rPr>
        <w:t>……公司全称：</w:t>
      </w:r>
      <w:r>
        <w:rPr>
          <w:rFonts w:hint="eastAsia" w:ascii="宋体" w:hAnsi="宋体"/>
          <w:color w:val="auto"/>
          <w:sz w:val="24"/>
          <w:szCs w:val="32"/>
          <w:highlight w:val="none"/>
          <w:u w:val="single"/>
        </w:rPr>
        <w:t xml:space="preserve">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ab/>
      </w:r>
      <w:r>
        <w:rPr>
          <w:rFonts w:hint="eastAsia" w:ascii="宋体" w:hAnsi="宋体"/>
          <w:color w:val="auto"/>
          <w:sz w:val="24"/>
          <w:szCs w:val="32"/>
          <w:highlight w:val="none"/>
          <w:u w:val="single"/>
        </w:rPr>
        <w:t xml:space="preserve">（盖章） </w:t>
      </w:r>
      <w:r>
        <w:rPr>
          <w:rFonts w:ascii="宋体" w:hAnsi="宋体"/>
          <w:color w:val="auto"/>
          <w:sz w:val="24"/>
          <w:szCs w:val="32"/>
          <w:highlight w:val="none"/>
          <w:u w:val="single"/>
        </w:rPr>
        <w:t xml:space="preserve"> </w:t>
      </w:r>
      <w:r>
        <w:rPr>
          <w:rFonts w:hint="eastAsia" w:ascii="宋体" w:hAnsi="宋体"/>
          <w:color w:val="auto"/>
          <w:sz w:val="24"/>
          <w:szCs w:val="32"/>
          <w:highlight w:val="none"/>
          <w:u w:val="single"/>
        </w:rPr>
        <w:t xml:space="preserve"> </w:t>
      </w:r>
      <w:r>
        <w:rPr>
          <w:rFonts w:hint="eastAsia" w:ascii="宋体" w:hAnsi="宋体"/>
          <w:color w:val="auto"/>
          <w:sz w:val="24"/>
          <w:szCs w:val="32"/>
          <w:highlight w:val="none"/>
          <w:u w:val="single"/>
        </w:rPr>
        <w:tab/>
      </w:r>
      <w:r>
        <w:rPr>
          <w:rFonts w:hint="eastAsia" w:ascii="宋体" w:hAnsi="宋体"/>
          <w:color w:val="auto"/>
          <w:sz w:val="24"/>
          <w:szCs w:val="32"/>
          <w:highlight w:val="none"/>
        </w:rPr>
        <w:tab/>
      </w:r>
    </w:p>
    <w:p>
      <w:pPr>
        <w:rPr>
          <w:rFonts w:ascii="宋体" w:hAnsi="宋体"/>
          <w:color w:val="auto"/>
          <w:sz w:val="24"/>
          <w:szCs w:val="32"/>
          <w:highlight w:val="none"/>
        </w:rPr>
      </w:pPr>
      <w:r>
        <w:rPr>
          <w:rFonts w:hint="eastAsia" w:ascii="宋体" w:hAnsi="宋体"/>
          <w:color w:val="auto"/>
          <w:sz w:val="24"/>
          <w:szCs w:val="32"/>
          <w:highlight w:val="none"/>
        </w:rPr>
        <w:t xml:space="preserve"> </w:t>
      </w:r>
      <w:r>
        <w:rPr>
          <w:rFonts w:ascii="宋体" w:hAnsi="宋体"/>
          <w:color w:val="auto"/>
          <w:sz w:val="24"/>
          <w:szCs w:val="32"/>
          <w:highlight w:val="none"/>
        </w:rPr>
        <w:t xml:space="preserve">             </w:t>
      </w:r>
      <w:r>
        <w:rPr>
          <w:rFonts w:hint="eastAsia" w:ascii="宋体" w:hAnsi="宋体"/>
          <w:color w:val="auto"/>
          <w:sz w:val="24"/>
          <w:szCs w:val="32"/>
          <w:highlight w:val="none"/>
        </w:rPr>
        <w:tab/>
      </w:r>
      <w:r>
        <w:rPr>
          <w:rFonts w:hint="eastAsia" w:ascii="宋体" w:hAnsi="宋体"/>
          <w:color w:val="auto"/>
          <w:sz w:val="24"/>
          <w:szCs w:val="32"/>
          <w:highlight w:val="none"/>
        </w:rPr>
        <w:t xml:space="preserve">年 </w:t>
      </w:r>
      <w:r>
        <w:rPr>
          <w:rFonts w:ascii="宋体" w:hAnsi="宋体"/>
          <w:color w:val="auto"/>
          <w:sz w:val="24"/>
          <w:szCs w:val="32"/>
          <w:highlight w:val="none"/>
        </w:rPr>
        <w:t xml:space="preserve">  </w:t>
      </w:r>
      <w:r>
        <w:rPr>
          <w:rFonts w:hint="eastAsia" w:ascii="宋体" w:hAnsi="宋体"/>
          <w:color w:val="auto"/>
          <w:sz w:val="24"/>
          <w:szCs w:val="32"/>
          <w:highlight w:val="none"/>
        </w:rPr>
        <w:tab/>
      </w:r>
      <w:r>
        <w:rPr>
          <w:rFonts w:hint="eastAsia" w:ascii="宋体" w:hAnsi="宋体"/>
          <w:color w:val="auto"/>
          <w:sz w:val="24"/>
          <w:szCs w:val="32"/>
          <w:highlight w:val="none"/>
        </w:rPr>
        <w:t xml:space="preserve">月 </w:t>
      </w:r>
      <w:r>
        <w:rPr>
          <w:rFonts w:ascii="宋体" w:hAnsi="宋体"/>
          <w:color w:val="auto"/>
          <w:sz w:val="24"/>
          <w:szCs w:val="32"/>
          <w:highlight w:val="none"/>
        </w:rPr>
        <w:t xml:space="preserve">  </w:t>
      </w:r>
      <w:r>
        <w:rPr>
          <w:rFonts w:hint="eastAsia" w:ascii="宋体" w:hAnsi="宋体"/>
          <w:color w:val="auto"/>
          <w:sz w:val="24"/>
          <w:szCs w:val="32"/>
          <w:highlight w:val="none"/>
        </w:rPr>
        <w:tab/>
      </w:r>
      <w:r>
        <w:rPr>
          <w:rFonts w:hint="eastAsia" w:ascii="宋体" w:hAnsi="宋体"/>
          <w:color w:val="auto"/>
          <w:sz w:val="24"/>
          <w:szCs w:val="32"/>
          <w:highlight w:val="none"/>
        </w:rPr>
        <w:t>日</w:t>
      </w:r>
    </w:p>
    <w:p>
      <w:pPr>
        <w:pStyle w:val="2"/>
        <w:rPr>
          <w:rFonts w:ascii="宋体" w:hAnsi="宋体"/>
          <w:color w:val="auto"/>
          <w:highlight w:val="none"/>
        </w:rPr>
      </w:pPr>
    </w:p>
    <w:p>
      <w:pPr>
        <w:pStyle w:val="2"/>
        <w:rPr>
          <w:rFonts w:ascii="宋体" w:hAnsi="宋体"/>
          <w:color w:val="auto"/>
          <w:highlight w:val="none"/>
        </w:rPr>
      </w:pPr>
    </w:p>
    <w:p>
      <w:pPr>
        <w:rPr>
          <w:rFonts w:ascii="宋体" w:hAnsi="宋体"/>
          <w:color w:val="auto"/>
          <w:szCs w:val="21"/>
          <w:highlight w:val="none"/>
        </w:rPr>
      </w:pPr>
      <w:r>
        <w:rPr>
          <w:rFonts w:hint="eastAsia" w:ascii="宋体" w:hAnsi="宋体"/>
          <w:color w:val="auto"/>
          <w:szCs w:val="21"/>
          <w:highlight w:val="none"/>
        </w:rPr>
        <w:t>注：1．联合响应时需签本协议，联合体各方成员应在本协议上共同盖章确认。</w:t>
      </w:r>
    </w:p>
    <w:p>
      <w:pPr>
        <w:rPr>
          <w:rFonts w:ascii="宋体" w:hAnsi="宋体"/>
          <w:color w:val="auto"/>
          <w:szCs w:val="21"/>
          <w:highlight w:val="none"/>
        </w:rPr>
      </w:pPr>
      <w:r>
        <w:rPr>
          <w:rFonts w:hint="eastAsia" w:ascii="宋体" w:hAnsi="宋体"/>
          <w:color w:val="auto"/>
          <w:szCs w:val="21"/>
          <w:highlight w:val="none"/>
        </w:rPr>
        <w:t>2．本协议内容不得擅自修改。此协议将作为签订合同的附件之一。</w:t>
      </w:r>
    </w:p>
    <w:p>
      <w:pPr>
        <w:rPr>
          <w:rFonts w:ascii="宋体" w:hAnsi="宋体"/>
          <w:color w:val="auto"/>
          <w:highlight w:val="none"/>
        </w:rPr>
      </w:pPr>
      <w:r>
        <w:rPr>
          <w:rFonts w:ascii="宋体" w:hAnsi="宋体"/>
          <w:color w:val="auto"/>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154" w:name="_Toc103033253"/>
      <w:bookmarkStart w:id="155" w:name="_Toc104040716"/>
      <w:bookmarkStart w:id="156" w:name="_Toc103033245"/>
      <w:bookmarkStart w:id="157" w:name="_Toc102936930"/>
      <w:r>
        <w:rPr>
          <w:rFonts w:hint="eastAsia" w:ascii="宋体" w:hAnsi="宋体"/>
          <w:color w:val="auto"/>
          <w:szCs w:val="24"/>
          <w:highlight w:val="none"/>
        </w:rPr>
        <w:t>需要采购人提供的附加条件</w:t>
      </w:r>
      <w:bookmarkEnd w:id="154"/>
      <w:bookmarkEnd w:id="155"/>
    </w:p>
    <w:p>
      <w:pPr>
        <w:rPr>
          <w:rFonts w:ascii="宋体" w:hAnsi="宋体" w:cs="宋体"/>
          <w:i/>
          <w:iCs/>
          <w:color w:val="auto"/>
          <w:szCs w:val="21"/>
          <w:highlight w:val="none"/>
        </w:rPr>
      </w:pPr>
      <w:r>
        <w:rPr>
          <w:rFonts w:hint="eastAsia" w:ascii="宋体" w:hAnsi="宋体" w:cs="宋体"/>
          <w:i/>
          <w:iCs/>
          <w:color w:val="auto"/>
          <w:szCs w:val="21"/>
          <w:highlight w:val="none"/>
        </w:rPr>
        <w:t>（以下格式文件由供应商根据需要选用）</w:t>
      </w:r>
      <w:bookmarkStart w:id="158" w:name="_Toc66392098"/>
    </w:p>
    <w:p>
      <w:pPr>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需要采购人提供的附加条件</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20"/>
        <w:gridCol w:w="762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Lines="50" w:afterLines="50" w:line="240"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421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Lines="50" w:afterLines="50" w:line="240" w:lineRule="auto"/>
              <w:jc w:val="center"/>
              <w:rPr>
                <w:rFonts w:ascii="宋体" w:hAnsi="宋体"/>
                <w:b/>
                <w:bCs/>
                <w:color w:val="auto"/>
                <w:szCs w:val="21"/>
                <w:highlight w:val="none"/>
              </w:rPr>
            </w:pPr>
            <w:r>
              <w:rPr>
                <w:rFonts w:hint="eastAsia" w:ascii="宋体" w:hAnsi="宋体"/>
                <w:b/>
                <w:bCs/>
                <w:color w:val="auto"/>
                <w:szCs w:val="21"/>
                <w:highlight w:val="none"/>
              </w:rPr>
              <w:t>供应商需要采购人提供的附加条件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color w:val="auto"/>
                <w:szCs w:val="21"/>
                <w:highlight w:val="none"/>
              </w:rPr>
            </w:pPr>
            <w:r>
              <w:rPr>
                <w:rFonts w:hint="eastAsia" w:ascii="宋体" w:hAnsi="宋体"/>
                <w:color w:val="auto"/>
                <w:szCs w:val="21"/>
                <w:highlight w:val="none"/>
              </w:rPr>
              <w:t>1</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color w:val="auto"/>
                <w:szCs w:val="21"/>
                <w:highlight w:val="none"/>
              </w:rPr>
            </w:pPr>
            <w:r>
              <w:rPr>
                <w:rFonts w:hint="eastAsia" w:ascii="宋体" w:hAnsi="宋体"/>
                <w:color w:val="auto"/>
                <w:szCs w:val="21"/>
                <w:highlight w:val="none"/>
              </w:rPr>
              <w:t>2</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color w:val="auto"/>
                <w:szCs w:val="21"/>
                <w:highlight w:val="none"/>
              </w:rPr>
            </w:pPr>
            <w:r>
              <w:rPr>
                <w:rFonts w:hint="eastAsia" w:ascii="宋体" w:hAnsi="宋体"/>
                <w:color w:val="auto"/>
                <w:szCs w:val="21"/>
                <w:highlight w:val="none"/>
              </w:rPr>
              <w:t>3</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color w:val="auto"/>
                <w:szCs w:val="21"/>
                <w:highlight w:val="none"/>
              </w:rPr>
            </w:pPr>
          </w:p>
        </w:tc>
      </w:tr>
    </w:tbl>
    <w:p>
      <w:pPr>
        <w:pStyle w:val="45"/>
        <w:spacing w:after="0" w:line="360" w:lineRule="auto"/>
        <w:ind w:left="0" w:leftChars="0" w:firstLine="422"/>
        <w:rPr>
          <w:rFonts w:ascii="宋体" w:hAnsi="宋体"/>
          <w:b/>
          <w:bCs/>
          <w:color w:val="auto"/>
          <w:szCs w:val="21"/>
          <w:highlight w:val="none"/>
        </w:rPr>
      </w:pPr>
      <w:r>
        <w:rPr>
          <w:rFonts w:hint="eastAsia" w:ascii="宋体" w:hAnsi="宋体"/>
          <w:b/>
          <w:bCs/>
          <w:color w:val="auto"/>
          <w:szCs w:val="21"/>
          <w:highlight w:val="none"/>
        </w:rPr>
        <w:t>注：供应商完成本项目需要采购人配合或提供的条件必须在上表列出，否则将视为供应商同意按现有条件完成本项目。如上表所列附加条件含有采购人不能接受的，将被视为无效响应。</w:t>
      </w:r>
    </w:p>
    <w:p>
      <w:pPr>
        <w:pStyle w:val="2"/>
        <w:rPr>
          <w:rFonts w:ascii="宋体" w:hAnsi="宋体"/>
          <w:color w:val="auto"/>
          <w:highlight w:val="none"/>
        </w:rPr>
      </w:pPr>
    </w:p>
    <w:p>
      <w:pPr>
        <w:pStyle w:val="356"/>
        <w:spacing w:line="480" w:lineRule="auto"/>
        <w:ind w:firstLine="0" w:firstLineChars="0"/>
        <w:jc w:val="right"/>
        <w:rPr>
          <w:color w:val="auto"/>
          <w:highlight w:val="none"/>
          <w:lang w:eastAsia="zh-CN"/>
        </w:rPr>
      </w:pPr>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rFonts w:hint="eastAsia"/>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rFonts w:hint="eastAsia"/>
          <w:color w:val="auto"/>
          <w:highlight w:val="none"/>
          <w:u w:val="single"/>
          <w:lang w:eastAsia="zh-CN"/>
        </w:rPr>
        <w:t xml:space="preserve">                    .</w:t>
      </w:r>
    </w:p>
    <w:p>
      <w:pPr>
        <w:pStyle w:val="356"/>
        <w:spacing w:line="480" w:lineRule="auto"/>
        <w:ind w:firstLine="4960" w:firstLineChars="2067"/>
        <w:jc w:val="right"/>
        <w:rPr>
          <w:color w:val="auto"/>
          <w:highlight w:val="none"/>
          <w:lang w:eastAsia="zh-CN"/>
        </w:rPr>
      </w:pPr>
      <w:r>
        <w:rPr>
          <w:rFonts w:hint="eastAsia"/>
          <w:color w:val="auto"/>
          <w:highlight w:val="none"/>
          <w:lang w:eastAsia="zh-CN"/>
        </w:rPr>
        <w:t>日期：</w:t>
      </w:r>
      <w:r>
        <w:rPr>
          <w:rFonts w:hint="eastAsia"/>
          <w:color w:val="auto"/>
          <w:highlight w:val="none"/>
          <w:u w:val="single"/>
          <w:lang w:eastAsia="zh-CN"/>
        </w:rPr>
        <w:t xml:space="preserve">     </w:t>
      </w:r>
      <w:r>
        <w:rPr>
          <w:rFonts w:hint="eastAsia"/>
          <w:color w:val="auto"/>
          <w:highlight w:val="none"/>
          <w:lang w:eastAsia="zh-CN"/>
        </w:rPr>
        <w:t>年</w:t>
      </w:r>
      <w:r>
        <w:rPr>
          <w:rFonts w:hint="eastAsia"/>
          <w:color w:val="auto"/>
          <w:highlight w:val="none"/>
          <w:u w:val="single"/>
          <w:lang w:eastAsia="zh-CN"/>
        </w:rPr>
        <w:t xml:space="preserve">     </w:t>
      </w:r>
      <w:r>
        <w:rPr>
          <w:rFonts w:hint="eastAsia"/>
          <w:color w:val="auto"/>
          <w:highlight w:val="none"/>
          <w:lang w:eastAsia="zh-CN"/>
        </w:rPr>
        <w:t>月</w:t>
      </w:r>
      <w:r>
        <w:rPr>
          <w:rFonts w:hint="eastAsia"/>
          <w:color w:val="auto"/>
          <w:highlight w:val="none"/>
          <w:u w:val="single"/>
          <w:lang w:eastAsia="zh-CN"/>
        </w:rPr>
        <w:t xml:space="preserve">     </w:t>
      </w:r>
      <w:r>
        <w:rPr>
          <w:rFonts w:hint="eastAsia"/>
          <w:color w:val="auto"/>
          <w:highlight w:val="none"/>
          <w:lang w:eastAsia="zh-CN"/>
        </w:rPr>
        <w:t>日</w:t>
      </w:r>
    </w:p>
    <w:p>
      <w:pPr>
        <w:pStyle w:val="2"/>
        <w:rPr>
          <w:rFonts w:ascii="宋体" w:hAnsi="宋体"/>
          <w:color w:val="auto"/>
          <w:highlight w:val="none"/>
        </w:rPr>
      </w:pPr>
    </w:p>
    <w:bookmarkEnd w:id="158"/>
    <w:p>
      <w:pPr>
        <w:rPr>
          <w:rFonts w:ascii="宋体" w:hAnsi="宋体"/>
          <w:b/>
          <w:bCs/>
          <w:color w:val="auto"/>
          <w:sz w:val="24"/>
          <w:highlight w:val="none"/>
        </w:rPr>
      </w:pPr>
      <w:r>
        <w:rPr>
          <w:rFonts w:ascii="宋体" w:hAnsi="宋体"/>
          <w:color w:val="auto"/>
          <w:sz w:val="24"/>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159" w:name="_Toc104040717"/>
      <w:bookmarkStart w:id="160" w:name="_Hlk115385774"/>
      <w:r>
        <w:rPr>
          <w:rFonts w:hint="eastAsia" w:ascii="宋体" w:hAnsi="宋体"/>
          <w:color w:val="auto"/>
          <w:szCs w:val="24"/>
          <w:highlight w:val="none"/>
        </w:rPr>
        <w:t>实质性</w:t>
      </w:r>
      <w:r>
        <w:rPr>
          <w:rFonts w:ascii="宋体" w:hAnsi="宋体"/>
          <w:color w:val="auto"/>
          <w:szCs w:val="24"/>
          <w:highlight w:val="none"/>
        </w:rPr>
        <w:t>条款</w:t>
      </w:r>
      <w:r>
        <w:rPr>
          <w:rFonts w:hint="eastAsia" w:ascii="宋体" w:hAnsi="宋体"/>
          <w:color w:val="auto"/>
          <w:szCs w:val="24"/>
          <w:highlight w:val="none"/>
        </w:rPr>
        <w:t>技术</w:t>
      </w:r>
      <w:r>
        <w:rPr>
          <w:rFonts w:ascii="宋体" w:hAnsi="宋体"/>
          <w:color w:val="auto"/>
          <w:szCs w:val="24"/>
          <w:highlight w:val="none"/>
        </w:rPr>
        <w:t>响应表</w:t>
      </w:r>
      <w:bookmarkEnd w:id="156"/>
      <w:bookmarkEnd w:id="157"/>
      <w:bookmarkEnd w:id="159"/>
    </w:p>
    <w:p>
      <w:pPr>
        <w:rPr>
          <w:color w:val="auto"/>
          <w:highlight w:val="none"/>
        </w:rPr>
      </w:pPr>
      <w:r>
        <w:rPr>
          <w:rFonts w:hint="eastAsia" w:ascii="宋体" w:hAnsi="宋体" w:cs="宋体"/>
          <w:i/>
          <w:iCs/>
          <w:color w:val="auto"/>
          <w:szCs w:val="21"/>
          <w:highlight w:val="none"/>
        </w:rPr>
        <w:t>（以下格式文件由供应商根据需要选用）</w:t>
      </w:r>
    </w:p>
    <w:p>
      <w:pPr>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实质性</w:t>
      </w:r>
      <w:r>
        <w:rPr>
          <w:rFonts w:ascii="宋体" w:hAnsi="宋体" w:cs="宋体"/>
          <w:b/>
          <w:bCs/>
          <w:color w:val="auto"/>
          <w:sz w:val="28"/>
          <w:szCs w:val="28"/>
          <w:highlight w:val="none"/>
        </w:rPr>
        <w:t>条款响应表</w:t>
      </w:r>
    </w:p>
    <w:p>
      <w:pPr>
        <w:rPr>
          <w:rFonts w:ascii="宋体" w:hAnsi="宋体"/>
          <w:bCs/>
          <w:color w:val="auto"/>
          <w:sz w:val="24"/>
          <w:highlight w:val="none"/>
        </w:rPr>
      </w:pPr>
      <w:r>
        <w:rPr>
          <w:rFonts w:ascii="宋体" w:hAnsi="宋体"/>
          <w:bCs/>
          <w:color w:val="auto"/>
          <w:sz w:val="24"/>
          <w:highlight w:val="none"/>
        </w:rPr>
        <w:t>项目名称：</w:t>
      </w:r>
      <w:r>
        <w:rPr>
          <w:rFonts w:ascii="宋体" w:hAnsi="宋体"/>
          <w:bCs/>
          <w:color w:val="auto"/>
          <w:sz w:val="24"/>
          <w:highlight w:val="none"/>
          <w:u w:val="single"/>
        </w:rPr>
        <w:t xml:space="preserve">                 </w:t>
      </w:r>
      <w:r>
        <w:rPr>
          <w:rFonts w:ascii="宋体" w:hAnsi="宋体"/>
          <w:bCs/>
          <w:color w:val="auto"/>
          <w:sz w:val="24"/>
          <w:highlight w:val="none"/>
        </w:rPr>
        <w:t xml:space="preserve">  </w:t>
      </w:r>
    </w:p>
    <w:p>
      <w:pPr>
        <w:rPr>
          <w:rFonts w:ascii="宋体" w:hAnsi="宋体"/>
          <w:color w:val="auto"/>
          <w:sz w:val="24"/>
          <w:highlight w:val="none"/>
        </w:rPr>
      </w:pPr>
      <w:r>
        <w:rPr>
          <w:rFonts w:hint="eastAsia" w:ascii="宋体" w:hAnsi="宋体"/>
          <w:bCs/>
          <w:color w:val="auto"/>
          <w:sz w:val="24"/>
          <w:highlight w:val="none"/>
        </w:rPr>
        <w:t>项目编号</w:t>
      </w:r>
      <w:r>
        <w:rPr>
          <w:rFonts w:ascii="宋体" w:hAnsi="宋体"/>
          <w:bCs/>
          <w:color w:val="auto"/>
          <w:sz w:val="24"/>
          <w:highlight w:val="none"/>
        </w:rPr>
        <w:t>：_________________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4"/>
              <w:spacing w:line="240" w:lineRule="auto"/>
              <w:ind w:firstLine="0"/>
              <w:jc w:val="center"/>
              <w:rPr>
                <w:rFonts w:ascii="宋体" w:hAnsi="宋体" w:eastAsia="宋体"/>
                <w:b/>
                <w:color w:val="auto"/>
                <w:sz w:val="21"/>
                <w:szCs w:val="21"/>
                <w:highlight w:val="none"/>
              </w:rPr>
            </w:pPr>
            <w:r>
              <w:rPr>
                <w:rFonts w:ascii="宋体" w:hAnsi="宋体" w:eastAsia="宋体"/>
                <w:b/>
                <w:color w:val="auto"/>
                <w:sz w:val="21"/>
                <w:szCs w:val="21"/>
                <w:highlight w:val="none"/>
              </w:rPr>
              <w:t>序号</w:t>
            </w:r>
          </w:p>
        </w:tc>
        <w:tc>
          <w:tcPr>
            <w:tcW w:w="2462" w:type="pct"/>
            <w:vAlign w:val="center"/>
          </w:tcPr>
          <w:p>
            <w:pPr>
              <w:pStyle w:val="14"/>
              <w:spacing w:line="240" w:lineRule="auto"/>
              <w:ind w:firstLine="0"/>
              <w:jc w:val="center"/>
              <w:rPr>
                <w:rFonts w:ascii="宋体" w:hAnsi="宋体" w:eastAsia="宋体"/>
                <w:b/>
                <w:color w:val="auto"/>
                <w:sz w:val="21"/>
                <w:szCs w:val="21"/>
                <w:highlight w:val="none"/>
              </w:rPr>
            </w:pPr>
            <w:r>
              <w:rPr>
                <w:rFonts w:hint="eastAsia" w:ascii="宋体" w:hAnsi="宋体" w:eastAsia="宋体"/>
                <w:b/>
                <w:color w:val="auto"/>
                <w:sz w:val="21"/>
                <w:szCs w:val="21"/>
                <w:highlight w:val="none"/>
              </w:rPr>
              <w:t>磋商文件</w:t>
            </w:r>
            <w:r>
              <w:rPr>
                <w:rFonts w:ascii="宋体" w:hAnsi="宋体" w:eastAsia="宋体"/>
                <w:b/>
                <w:color w:val="auto"/>
                <w:sz w:val="21"/>
                <w:szCs w:val="21"/>
                <w:highlight w:val="none"/>
              </w:rPr>
              <w:t>要求</w:t>
            </w:r>
          </w:p>
        </w:tc>
        <w:tc>
          <w:tcPr>
            <w:tcW w:w="748" w:type="pct"/>
            <w:vAlign w:val="center"/>
          </w:tcPr>
          <w:p>
            <w:pPr>
              <w:pStyle w:val="14"/>
              <w:spacing w:line="240" w:lineRule="auto"/>
              <w:ind w:firstLine="0"/>
              <w:jc w:val="center"/>
              <w:rPr>
                <w:rFonts w:ascii="宋体" w:hAnsi="宋体" w:eastAsia="宋体"/>
                <w:b/>
                <w:color w:val="auto"/>
                <w:sz w:val="21"/>
                <w:szCs w:val="21"/>
                <w:highlight w:val="none"/>
              </w:rPr>
            </w:pPr>
            <w:r>
              <w:rPr>
                <w:rFonts w:hint="eastAsia" w:ascii="宋体" w:hAnsi="宋体" w:eastAsia="宋体"/>
                <w:b/>
                <w:color w:val="auto"/>
                <w:sz w:val="21"/>
                <w:szCs w:val="21"/>
                <w:highlight w:val="none"/>
              </w:rPr>
              <w:t>响应情况</w:t>
            </w:r>
          </w:p>
        </w:tc>
        <w:tc>
          <w:tcPr>
            <w:tcW w:w="831" w:type="pct"/>
            <w:vAlign w:val="center"/>
          </w:tcPr>
          <w:p>
            <w:pPr>
              <w:pStyle w:val="14"/>
              <w:spacing w:line="240" w:lineRule="auto"/>
              <w:ind w:firstLine="0"/>
              <w:jc w:val="center"/>
              <w:rPr>
                <w:rFonts w:ascii="宋体" w:hAnsi="宋体" w:eastAsia="宋体"/>
                <w:b/>
                <w:color w:val="auto"/>
                <w:sz w:val="21"/>
                <w:szCs w:val="21"/>
                <w:highlight w:val="none"/>
              </w:rPr>
            </w:pPr>
            <w:r>
              <w:rPr>
                <w:rFonts w:ascii="宋体" w:hAnsi="宋体" w:eastAsia="宋体"/>
                <w:b/>
                <w:color w:val="auto"/>
                <w:sz w:val="21"/>
                <w:szCs w:val="21"/>
                <w:highlight w:val="none"/>
              </w:rPr>
              <w:t>偏离情况</w:t>
            </w:r>
          </w:p>
        </w:tc>
        <w:tc>
          <w:tcPr>
            <w:tcW w:w="449" w:type="pct"/>
            <w:vAlign w:val="center"/>
          </w:tcPr>
          <w:p>
            <w:pPr>
              <w:pStyle w:val="14"/>
              <w:spacing w:line="240" w:lineRule="auto"/>
              <w:ind w:firstLine="0"/>
              <w:jc w:val="center"/>
              <w:rPr>
                <w:rFonts w:ascii="宋体" w:hAnsi="宋体" w:eastAsia="宋体"/>
                <w:b/>
                <w:color w:val="auto"/>
                <w:sz w:val="21"/>
                <w:szCs w:val="21"/>
                <w:highlight w:val="none"/>
              </w:rPr>
            </w:pPr>
            <w:r>
              <w:rPr>
                <w:rFonts w:ascii="宋体" w:hAnsi="宋体" w:eastAsia="宋体"/>
                <w:b/>
                <w:color w:val="auto"/>
                <w:sz w:val="21"/>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highlight w:val="none"/>
              </w:rPr>
            </w:pPr>
            <w:r>
              <w:rPr>
                <w:rFonts w:ascii="宋体" w:hAnsi="宋体"/>
                <w:bCs/>
                <w:color w:val="auto"/>
                <w:szCs w:val="21"/>
                <w:highlight w:val="none"/>
              </w:rPr>
              <w:t>1</w:t>
            </w:r>
          </w:p>
        </w:tc>
        <w:tc>
          <w:tcPr>
            <w:tcW w:w="2462" w:type="pct"/>
            <w:vAlign w:val="center"/>
          </w:tcPr>
          <w:p>
            <w:pPr>
              <w:rPr>
                <w:rFonts w:ascii="宋体" w:hAnsi="宋体"/>
                <w:bCs/>
                <w:color w:val="auto"/>
                <w:szCs w:val="21"/>
                <w:highlight w:val="none"/>
              </w:rPr>
            </w:pPr>
          </w:p>
        </w:tc>
        <w:tc>
          <w:tcPr>
            <w:tcW w:w="748" w:type="pct"/>
            <w:vAlign w:val="center"/>
          </w:tcPr>
          <w:p>
            <w:pPr>
              <w:pStyle w:val="2"/>
              <w:spacing w:line="240" w:lineRule="auto"/>
              <w:jc w:val="center"/>
              <w:rPr>
                <w:rFonts w:ascii="宋体" w:hAnsi="宋体"/>
                <w:bCs/>
                <w:color w:val="auto"/>
                <w:szCs w:val="21"/>
                <w:highlight w:val="none"/>
              </w:rPr>
            </w:pPr>
          </w:p>
        </w:tc>
        <w:tc>
          <w:tcPr>
            <w:tcW w:w="831" w:type="pct"/>
            <w:vAlign w:val="center"/>
          </w:tcPr>
          <w:p>
            <w:pPr>
              <w:pStyle w:val="2"/>
              <w:spacing w:line="240" w:lineRule="auto"/>
              <w:jc w:val="center"/>
              <w:rPr>
                <w:rFonts w:ascii="宋体" w:hAnsi="宋体"/>
                <w:bCs/>
                <w:color w:val="auto"/>
                <w:szCs w:val="21"/>
                <w:highlight w:val="none"/>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highlight w:val="none"/>
              </w:rPr>
            </w:pPr>
            <w:r>
              <w:rPr>
                <w:rFonts w:ascii="宋体" w:hAnsi="宋体"/>
                <w:bCs/>
                <w:color w:val="auto"/>
                <w:szCs w:val="21"/>
                <w:highlight w:val="none"/>
              </w:rPr>
              <w:t>2</w:t>
            </w:r>
          </w:p>
        </w:tc>
        <w:tc>
          <w:tcPr>
            <w:tcW w:w="2462" w:type="pct"/>
            <w:vAlign w:val="center"/>
          </w:tcPr>
          <w:p>
            <w:pPr>
              <w:rPr>
                <w:rFonts w:ascii="宋体" w:hAnsi="宋体"/>
                <w:bCs/>
                <w:color w:val="auto"/>
                <w:szCs w:val="21"/>
                <w:highlight w:val="none"/>
              </w:rPr>
            </w:pPr>
          </w:p>
        </w:tc>
        <w:tc>
          <w:tcPr>
            <w:tcW w:w="748" w:type="pct"/>
            <w:vAlign w:val="center"/>
          </w:tcPr>
          <w:p>
            <w:pPr>
              <w:pStyle w:val="2"/>
              <w:spacing w:line="240" w:lineRule="auto"/>
              <w:jc w:val="center"/>
              <w:rPr>
                <w:rFonts w:ascii="宋体" w:hAnsi="宋体"/>
                <w:bCs/>
                <w:color w:val="auto"/>
                <w:szCs w:val="21"/>
                <w:highlight w:val="none"/>
              </w:rPr>
            </w:pPr>
          </w:p>
        </w:tc>
        <w:tc>
          <w:tcPr>
            <w:tcW w:w="831" w:type="pct"/>
            <w:vAlign w:val="center"/>
          </w:tcPr>
          <w:p>
            <w:pPr>
              <w:pStyle w:val="2"/>
              <w:spacing w:line="240" w:lineRule="auto"/>
              <w:jc w:val="center"/>
              <w:rPr>
                <w:rFonts w:ascii="宋体" w:hAnsi="宋体"/>
                <w:bCs/>
                <w:color w:val="auto"/>
                <w:szCs w:val="21"/>
                <w:highlight w:val="none"/>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highlight w:val="none"/>
              </w:rPr>
            </w:pPr>
            <w:r>
              <w:rPr>
                <w:rFonts w:ascii="宋体" w:hAnsi="宋体"/>
                <w:bCs/>
                <w:color w:val="auto"/>
                <w:szCs w:val="21"/>
                <w:highlight w:val="none"/>
              </w:rPr>
              <w:t>…</w:t>
            </w:r>
          </w:p>
        </w:tc>
        <w:tc>
          <w:tcPr>
            <w:tcW w:w="2462" w:type="pct"/>
            <w:vAlign w:val="center"/>
          </w:tcPr>
          <w:p>
            <w:pPr>
              <w:jc w:val="center"/>
              <w:rPr>
                <w:rFonts w:ascii="宋体" w:hAnsi="宋体"/>
                <w:bCs/>
                <w:color w:val="auto"/>
                <w:szCs w:val="21"/>
                <w:highlight w:val="none"/>
              </w:rPr>
            </w:pPr>
            <w:r>
              <w:rPr>
                <w:rFonts w:ascii="宋体" w:hAnsi="宋体"/>
                <w:bCs/>
                <w:color w:val="auto"/>
                <w:szCs w:val="21"/>
                <w:highlight w:val="none"/>
              </w:rPr>
              <w:t>…</w:t>
            </w:r>
          </w:p>
        </w:tc>
        <w:tc>
          <w:tcPr>
            <w:tcW w:w="748" w:type="pct"/>
            <w:vAlign w:val="center"/>
          </w:tcPr>
          <w:p>
            <w:pPr>
              <w:pStyle w:val="14"/>
              <w:ind w:firstLine="0"/>
              <w:jc w:val="center"/>
              <w:rPr>
                <w:rFonts w:ascii="宋体" w:hAnsi="宋体" w:eastAsia="宋体"/>
                <w:bCs/>
                <w:color w:val="auto"/>
                <w:sz w:val="21"/>
                <w:szCs w:val="21"/>
                <w:highlight w:val="none"/>
              </w:rPr>
            </w:pPr>
          </w:p>
        </w:tc>
        <w:tc>
          <w:tcPr>
            <w:tcW w:w="831" w:type="pct"/>
            <w:vAlign w:val="center"/>
          </w:tcPr>
          <w:p>
            <w:pPr>
              <w:pStyle w:val="14"/>
              <w:ind w:firstLine="0"/>
              <w:jc w:val="center"/>
              <w:rPr>
                <w:rFonts w:ascii="宋体" w:hAnsi="宋体" w:eastAsia="宋体"/>
                <w:bCs/>
                <w:color w:val="auto"/>
                <w:sz w:val="21"/>
                <w:szCs w:val="21"/>
                <w:highlight w:val="none"/>
              </w:rPr>
            </w:pPr>
          </w:p>
        </w:tc>
        <w:tc>
          <w:tcPr>
            <w:tcW w:w="449" w:type="pct"/>
            <w:vAlign w:val="center"/>
          </w:tcPr>
          <w:p>
            <w:pPr>
              <w:pStyle w:val="14"/>
              <w:ind w:firstLine="0"/>
              <w:jc w:val="center"/>
              <w:rPr>
                <w:rFonts w:ascii="宋体" w:hAnsi="宋体" w:eastAsia="宋体"/>
                <w:bCs/>
                <w:color w:val="auto"/>
                <w:sz w:val="21"/>
                <w:szCs w:val="21"/>
                <w:highlight w:val="none"/>
              </w:rPr>
            </w:pPr>
          </w:p>
        </w:tc>
      </w:tr>
      <w:bookmarkEnd w:id="160"/>
    </w:tbl>
    <w:p>
      <w:pPr>
        <w:pStyle w:val="14"/>
        <w:ind w:firstLine="0"/>
        <w:rPr>
          <w:rFonts w:ascii="宋体" w:hAnsi="宋体" w:eastAsia="宋体"/>
          <w:color w:val="auto"/>
          <w:sz w:val="21"/>
          <w:szCs w:val="21"/>
          <w:highlight w:val="none"/>
        </w:rPr>
      </w:pPr>
      <w:r>
        <w:rPr>
          <w:rFonts w:ascii="宋体" w:hAnsi="宋体" w:eastAsia="宋体"/>
          <w:color w:val="auto"/>
          <w:sz w:val="21"/>
          <w:szCs w:val="21"/>
          <w:highlight w:val="none"/>
        </w:rPr>
        <w:t>说明：</w:t>
      </w:r>
    </w:p>
    <w:p>
      <w:pPr>
        <w:pStyle w:val="14"/>
        <w:rPr>
          <w:rFonts w:ascii="宋体" w:hAnsi="宋体" w:eastAsia="宋体"/>
          <w:bCs/>
          <w:color w:val="auto"/>
          <w:sz w:val="21"/>
          <w:szCs w:val="21"/>
          <w:highlight w:val="none"/>
        </w:rPr>
      </w:pPr>
      <w:bookmarkStart w:id="161" w:name="_Hlk69414041"/>
      <w:r>
        <w:rPr>
          <w:rFonts w:ascii="宋体" w:hAnsi="宋体" w:eastAsia="宋体"/>
          <w:bCs/>
          <w:color w:val="auto"/>
          <w:sz w:val="21"/>
          <w:szCs w:val="21"/>
          <w:highlight w:val="none"/>
        </w:rPr>
        <w:t>1.</w:t>
      </w:r>
      <w:r>
        <w:rPr>
          <w:rFonts w:hint="eastAsia" w:ascii="宋体" w:hAnsi="宋体" w:eastAsia="宋体"/>
          <w:bCs/>
          <w:color w:val="auto"/>
          <w:sz w:val="21"/>
          <w:szCs w:val="21"/>
          <w:highlight w:val="none"/>
        </w:rPr>
        <w:t>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4"/>
        <w:rPr>
          <w:rFonts w:ascii="宋体" w:hAnsi="宋体" w:eastAsia="宋体"/>
          <w:bCs/>
          <w:color w:val="auto"/>
          <w:sz w:val="21"/>
          <w:szCs w:val="21"/>
          <w:highlight w:val="none"/>
        </w:rPr>
      </w:pPr>
      <w:r>
        <w:rPr>
          <w:rFonts w:ascii="宋体" w:hAnsi="宋体" w:eastAsia="宋体"/>
          <w:bCs/>
          <w:color w:val="auto"/>
          <w:sz w:val="21"/>
          <w:szCs w:val="21"/>
          <w:highlight w:val="none"/>
        </w:rPr>
        <w:t>2.</w:t>
      </w:r>
      <w:r>
        <w:rPr>
          <w:rFonts w:hint="eastAsia" w:ascii="宋体" w:hAnsi="宋体" w:eastAsia="宋体"/>
          <w:bCs/>
          <w:color w:val="auto"/>
          <w:sz w:val="21"/>
          <w:szCs w:val="21"/>
          <w:highlight w:val="none"/>
        </w:rPr>
        <w:t>“响应情况”应填写供应商的具体承诺，如果供应商承诺完全按照磋商文件规定执行的，也可以填写“完全按照磋商文件规定执行”</w:t>
      </w:r>
      <w:r>
        <w:rPr>
          <w:rFonts w:ascii="宋体" w:hAnsi="宋体" w:eastAsia="宋体"/>
          <w:bCs/>
          <w:color w:val="auto"/>
          <w:sz w:val="21"/>
          <w:szCs w:val="21"/>
          <w:highlight w:val="none"/>
        </w:rPr>
        <w:t>。</w:t>
      </w:r>
    </w:p>
    <w:p>
      <w:pPr>
        <w:pStyle w:val="14"/>
        <w:rPr>
          <w:rFonts w:ascii="宋体" w:hAnsi="宋体" w:eastAsia="宋体"/>
          <w:bCs/>
          <w:color w:val="auto"/>
          <w:sz w:val="21"/>
          <w:szCs w:val="21"/>
          <w:highlight w:val="none"/>
        </w:rPr>
      </w:pPr>
      <w:r>
        <w:rPr>
          <w:rFonts w:ascii="宋体" w:hAnsi="宋体" w:eastAsia="宋体"/>
          <w:bCs/>
          <w:color w:val="auto"/>
          <w:sz w:val="21"/>
          <w:szCs w:val="21"/>
          <w:highlight w:val="none"/>
        </w:rPr>
        <w:t>3.“偏离情况”项填写“正偏离”或“无偏离”或“负偏离”，</w:t>
      </w:r>
      <w:r>
        <w:rPr>
          <w:rFonts w:hint="eastAsia" w:ascii="宋体" w:hAnsi="宋体" w:eastAsia="宋体"/>
          <w:bCs/>
          <w:color w:val="auto"/>
          <w:sz w:val="21"/>
          <w:szCs w:val="21"/>
          <w:highlight w:val="none"/>
        </w:rPr>
        <w:t>供应商</w:t>
      </w:r>
      <w:r>
        <w:rPr>
          <w:rFonts w:ascii="宋体" w:hAnsi="宋体" w:eastAsia="宋体"/>
          <w:bCs/>
          <w:color w:val="auto"/>
          <w:sz w:val="21"/>
          <w:szCs w:val="21"/>
          <w:highlight w:val="none"/>
        </w:rPr>
        <w:t>须真实体现偏离情况。其中正偏离是指承诺优于</w:t>
      </w:r>
      <w:r>
        <w:rPr>
          <w:rFonts w:hint="eastAsia" w:ascii="宋体" w:hAnsi="宋体" w:eastAsia="宋体"/>
          <w:bCs/>
          <w:color w:val="auto"/>
          <w:sz w:val="21"/>
          <w:szCs w:val="21"/>
          <w:highlight w:val="none"/>
        </w:rPr>
        <w:t>磋商</w:t>
      </w:r>
      <w:r>
        <w:rPr>
          <w:rFonts w:ascii="宋体" w:hAnsi="宋体" w:eastAsia="宋体"/>
          <w:bCs/>
          <w:color w:val="auto"/>
          <w:sz w:val="21"/>
          <w:szCs w:val="21"/>
          <w:highlight w:val="none"/>
        </w:rPr>
        <w:t>文件所规定的实质性条款内容；无偏离是指承诺完整满足</w:t>
      </w:r>
      <w:r>
        <w:rPr>
          <w:rFonts w:hint="eastAsia" w:ascii="宋体" w:hAnsi="宋体" w:eastAsia="宋体"/>
          <w:bCs/>
          <w:color w:val="auto"/>
          <w:sz w:val="21"/>
          <w:szCs w:val="21"/>
          <w:highlight w:val="none"/>
        </w:rPr>
        <w:t>磋商</w:t>
      </w:r>
      <w:r>
        <w:rPr>
          <w:rFonts w:ascii="宋体" w:hAnsi="宋体" w:eastAsia="宋体"/>
          <w:bCs/>
          <w:color w:val="auto"/>
          <w:sz w:val="21"/>
          <w:szCs w:val="21"/>
          <w:highlight w:val="none"/>
        </w:rPr>
        <w:t>文件所规定的实质性条款内容；负偏离是指承诺劣于</w:t>
      </w:r>
      <w:r>
        <w:rPr>
          <w:rFonts w:hint="eastAsia" w:ascii="宋体" w:hAnsi="宋体" w:eastAsia="宋体"/>
          <w:bCs/>
          <w:color w:val="auto"/>
          <w:sz w:val="21"/>
          <w:szCs w:val="21"/>
          <w:highlight w:val="none"/>
        </w:rPr>
        <w:t>磋商</w:t>
      </w:r>
      <w:r>
        <w:rPr>
          <w:rFonts w:ascii="宋体" w:hAnsi="宋体" w:eastAsia="宋体"/>
          <w:bCs/>
          <w:color w:val="auto"/>
          <w:sz w:val="21"/>
          <w:szCs w:val="21"/>
          <w:highlight w:val="none"/>
        </w:rPr>
        <w:t>文件所规定的实质性条款内容。</w:t>
      </w:r>
    </w:p>
    <w:p>
      <w:pPr>
        <w:pStyle w:val="14"/>
        <w:rPr>
          <w:rFonts w:ascii="宋体" w:hAnsi="宋体" w:eastAsia="宋体"/>
          <w:bCs/>
          <w:color w:val="auto"/>
          <w:sz w:val="21"/>
          <w:szCs w:val="21"/>
          <w:highlight w:val="none"/>
        </w:rPr>
      </w:pPr>
      <w:bookmarkStart w:id="162" w:name="_Hlk104237757"/>
      <w:r>
        <w:rPr>
          <w:rFonts w:ascii="宋体" w:hAnsi="宋体" w:eastAsia="宋体"/>
          <w:bCs/>
          <w:color w:val="auto"/>
          <w:sz w:val="21"/>
          <w:szCs w:val="21"/>
          <w:highlight w:val="none"/>
        </w:rPr>
        <w:t>4.</w:t>
      </w:r>
      <w:r>
        <w:rPr>
          <w:rFonts w:hint="eastAsia" w:ascii="宋体" w:hAnsi="宋体" w:eastAsia="宋体"/>
          <w:bCs/>
          <w:color w:val="auto"/>
          <w:sz w:val="21"/>
          <w:szCs w:val="21"/>
          <w:highlight w:val="none"/>
        </w:rPr>
        <w:t>“说明”项填写具体的偏离情况，如“无偏离”可不用填写。</w:t>
      </w:r>
    </w:p>
    <w:bookmarkEnd w:id="162"/>
    <w:p>
      <w:pPr>
        <w:rPr>
          <w:rFonts w:ascii="宋体" w:hAnsi="宋体"/>
          <w:color w:val="auto"/>
          <w:highlight w:val="none"/>
        </w:rPr>
      </w:pPr>
    </w:p>
    <w:p>
      <w:pPr>
        <w:rPr>
          <w:rFonts w:ascii="宋体" w:hAnsi="宋体"/>
          <w:color w:val="auto"/>
          <w:highlight w:val="none"/>
        </w:rPr>
      </w:pPr>
    </w:p>
    <w:bookmarkEnd w:id="161"/>
    <w:p>
      <w:pPr>
        <w:pStyle w:val="356"/>
        <w:spacing w:line="480" w:lineRule="auto"/>
        <w:ind w:firstLine="0" w:firstLineChars="0"/>
        <w:jc w:val="right"/>
        <w:rPr>
          <w:color w:val="auto"/>
          <w:highlight w:val="none"/>
          <w:lang w:eastAsia="zh-CN"/>
        </w:rPr>
      </w:pPr>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jc w:val="right"/>
        <w:rPr>
          <w:rFonts w:ascii="宋体" w:hAnsi="宋体"/>
          <w:color w:val="auto"/>
          <w:sz w:val="24"/>
          <w:highlight w:val="none"/>
        </w:rPr>
      </w:pPr>
      <w:r>
        <w:rPr>
          <w:rFonts w:hint="eastAsia" w:ascii="宋体" w:hAnsi="宋体"/>
          <w:color w:val="auto"/>
          <w:sz w:val="24"/>
          <w:highlight w:val="none"/>
        </w:rPr>
        <w:t>日期：</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ascii="宋体" w:hAnsi="宋体"/>
          <w:color w:val="auto"/>
          <w:sz w:val="24"/>
          <w:highlight w:val="none"/>
        </w:rPr>
        <w:t>日</w:t>
      </w:r>
      <w:bookmarkStart w:id="163" w:name="_Toc76397763"/>
      <w:bookmarkStart w:id="164" w:name="_Toc202252035"/>
      <w:bookmarkStart w:id="165" w:name="_Toc276645584"/>
      <w:bookmarkStart w:id="166" w:name="_Toc68789541"/>
      <w:bookmarkStart w:id="167" w:name="_Toc202254106"/>
      <w:bookmarkStart w:id="168" w:name="_Toc202819879"/>
      <w:bookmarkStart w:id="169" w:name="_Toc202816997"/>
      <w:bookmarkStart w:id="170" w:name="_Toc259090987"/>
      <w:bookmarkStart w:id="171" w:name="_Toc202251701"/>
      <w:bookmarkStart w:id="172" w:name="_Toc70528469"/>
      <w:bookmarkStart w:id="173" w:name="_Toc462677240"/>
      <w:bookmarkStart w:id="174" w:name="_Toc202251076"/>
      <w:bookmarkStart w:id="175" w:name="_Hlk24378921"/>
      <w:bookmarkStart w:id="176" w:name="_Toc202820352"/>
      <w:bookmarkStart w:id="177" w:name="_Toc67046902"/>
    </w:p>
    <w:p>
      <w:pPr>
        <w:rPr>
          <w:rFonts w:ascii="宋体" w:hAnsi="宋体"/>
          <w:color w:val="auto"/>
          <w:sz w:val="24"/>
          <w:highlight w:val="none"/>
        </w:rPr>
      </w:pPr>
      <w:r>
        <w:rPr>
          <w:rFonts w:ascii="宋体" w:hAnsi="宋体"/>
          <w:color w:val="auto"/>
          <w:sz w:val="24"/>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r>
        <w:rPr>
          <w:rFonts w:hint="eastAsia" w:ascii="宋体" w:hAnsi="宋体"/>
          <w:color w:val="auto"/>
          <w:szCs w:val="24"/>
          <w:highlight w:val="none"/>
        </w:rPr>
        <w:t>实质性</w:t>
      </w:r>
      <w:r>
        <w:rPr>
          <w:rFonts w:ascii="宋体" w:hAnsi="宋体"/>
          <w:color w:val="auto"/>
          <w:szCs w:val="24"/>
          <w:highlight w:val="none"/>
        </w:rPr>
        <w:t>条款</w:t>
      </w:r>
      <w:r>
        <w:rPr>
          <w:rFonts w:hint="eastAsia" w:ascii="宋体" w:hAnsi="宋体"/>
          <w:color w:val="auto"/>
          <w:szCs w:val="24"/>
          <w:highlight w:val="none"/>
        </w:rPr>
        <w:t>商务</w:t>
      </w:r>
      <w:r>
        <w:rPr>
          <w:rFonts w:ascii="宋体" w:hAnsi="宋体"/>
          <w:color w:val="auto"/>
          <w:szCs w:val="24"/>
          <w:highlight w:val="none"/>
        </w:rPr>
        <w:t>响应表</w:t>
      </w:r>
    </w:p>
    <w:p>
      <w:pPr>
        <w:rPr>
          <w:color w:val="auto"/>
          <w:highlight w:val="none"/>
        </w:rPr>
      </w:pPr>
      <w:r>
        <w:rPr>
          <w:rFonts w:hint="eastAsia" w:ascii="宋体" w:hAnsi="宋体" w:cs="宋体"/>
          <w:i/>
          <w:iCs/>
          <w:color w:val="auto"/>
          <w:szCs w:val="21"/>
          <w:highlight w:val="none"/>
        </w:rPr>
        <w:t>（以下格式文件由供应商根据需要选用）</w:t>
      </w:r>
    </w:p>
    <w:p>
      <w:pPr>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实质性</w:t>
      </w:r>
      <w:r>
        <w:rPr>
          <w:rFonts w:ascii="宋体" w:hAnsi="宋体" w:cs="宋体"/>
          <w:b/>
          <w:bCs/>
          <w:color w:val="auto"/>
          <w:sz w:val="28"/>
          <w:szCs w:val="28"/>
          <w:highlight w:val="none"/>
        </w:rPr>
        <w:t>条款响应表</w:t>
      </w:r>
    </w:p>
    <w:p>
      <w:pPr>
        <w:rPr>
          <w:rFonts w:ascii="宋体" w:hAnsi="宋体"/>
          <w:bCs/>
          <w:color w:val="auto"/>
          <w:sz w:val="24"/>
          <w:highlight w:val="none"/>
        </w:rPr>
      </w:pPr>
      <w:r>
        <w:rPr>
          <w:rFonts w:ascii="宋体" w:hAnsi="宋体"/>
          <w:bCs/>
          <w:color w:val="auto"/>
          <w:sz w:val="24"/>
          <w:highlight w:val="none"/>
        </w:rPr>
        <w:t>项目名称：</w:t>
      </w:r>
      <w:r>
        <w:rPr>
          <w:rFonts w:ascii="宋体" w:hAnsi="宋体"/>
          <w:bCs/>
          <w:color w:val="auto"/>
          <w:sz w:val="24"/>
          <w:highlight w:val="none"/>
          <w:u w:val="single"/>
        </w:rPr>
        <w:t xml:space="preserve">                 </w:t>
      </w:r>
      <w:r>
        <w:rPr>
          <w:rFonts w:ascii="宋体" w:hAnsi="宋体"/>
          <w:bCs/>
          <w:color w:val="auto"/>
          <w:sz w:val="24"/>
          <w:highlight w:val="none"/>
        </w:rPr>
        <w:t xml:space="preserve">  </w:t>
      </w:r>
    </w:p>
    <w:p>
      <w:pPr>
        <w:rPr>
          <w:rFonts w:ascii="宋体" w:hAnsi="宋体"/>
          <w:color w:val="auto"/>
          <w:sz w:val="24"/>
          <w:highlight w:val="none"/>
        </w:rPr>
      </w:pPr>
      <w:r>
        <w:rPr>
          <w:rFonts w:hint="eastAsia" w:ascii="宋体" w:hAnsi="宋体"/>
          <w:bCs/>
          <w:color w:val="auto"/>
          <w:sz w:val="24"/>
          <w:highlight w:val="none"/>
        </w:rPr>
        <w:t>项目编号</w:t>
      </w:r>
      <w:r>
        <w:rPr>
          <w:rFonts w:ascii="宋体" w:hAnsi="宋体"/>
          <w:bCs/>
          <w:color w:val="auto"/>
          <w:sz w:val="24"/>
          <w:highlight w:val="none"/>
        </w:rPr>
        <w:t>：_________________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4"/>
              <w:spacing w:line="240" w:lineRule="auto"/>
              <w:ind w:firstLine="0"/>
              <w:jc w:val="center"/>
              <w:rPr>
                <w:rFonts w:ascii="宋体" w:hAnsi="宋体" w:eastAsia="宋体"/>
                <w:b/>
                <w:color w:val="auto"/>
                <w:sz w:val="21"/>
                <w:szCs w:val="21"/>
                <w:highlight w:val="none"/>
              </w:rPr>
            </w:pPr>
            <w:r>
              <w:rPr>
                <w:rFonts w:ascii="宋体" w:hAnsi="宋体" w:eastAsia="宋体"/>
                <w:b/>
                <w:color w:val="auto"/>
                <w:sz w:val="21"/>
                <w:szCs w:val="21"/>
                <w:highlight w:val="none"/>
              </w:rPr>
              <w:t>序号</w:t>
            </w:r>
          </w:p>
        </w:tc>
        <w:tc>
          <w:tcPr>
            <w:tcW w:w="2462" w:type="pct"/>
            <w:vAlign w:val="center"/>
          </w:tcPr>
          <w:p>
            <w:pPr>
              <w:pStyle w:val="14"/>
              <w:spacing w:line="240" w:lineRule="auto"/>
              <w:ind w:firstLine="0"/>
              <w:jc w:val="center"/>
              <w:rPr>
                <w:rFonts w:ascii="宋体" w:hAnsi="宋体" w:eastAsia="宋体"/>
                <w:b/>
                <w:color w:val="auto"/>
                <w:sz w:val="21"/>
                <w:szCs w:val="21"/>
                <w:highlight w:val="none"/>
              </w:rPr>
            </w:pPr>
            <w:r>
              <w:rPr>
                <w:rFonts w:hint="eastAsia" w:ascii="宋体" w:hAnsi="宋体" w:eastAsia="宋体"/>
                <w:b/>
                <w:color w:val="auto"/>
                <w:sz w:val="21"/>
                <w:szCs w:val="21"/>
                <w:highlight w:val="none"/>
              </w:rPr>
              <w:t>磋商文件</w:t>
            </w:r>
            <w:r>
              <w:rPr>
                <w:rFonts w:ascii="宋体" w:hAnsi="宋体" w:eastAsia="宋体"/>
                <w:b/>
                <w:color w:val="auto"/>
                <w:sz w:val="21"/>
                <w:szCs w:val="21"/>
                <w:highlight w:val="none"/>
              </w:rPr>
              <w:t>要求</w:t>
            </w:r>
          </w:p>
        </w:tc>
        <w:tc>
          <w:tcPr>
            <w:tcW w:w="748" w:type="pct"/>
            <w:vAlign w:val="center"/>
          </w:tcPr>
          <w:p>
            <w:pPr>
              <w:pStyle w:val="14"/>
              <w:spacing w:line="240" w:lineRule="auto"/>
              <w:ind w:firstLine="0"/>
              <w:jc w:val="center"/>
              <w:rPr>
                <w:rFonts w:ascii="宋体" w:hAnsi="宋体" w:eastAsia="宋体"/>
                <w:b/>
                <w:color w:val="auto"/>
                <w:sz w:val="21"/>
                <w:szCs w:val="21"/>
                <w:highlight w:val="none"/>
              </w:rPr>
            </w:pPr>
            <w:r>
              <w:rPr>
                <w:rFonts w:hint="eastAsia" w:ascii="宋体" w:hAnsi="宋体" w:eastAsia="宋体"/>
                <w:b/>
                <w:color w:val="auto"/>
                <w:sz w:val="21"/>
                <w:szCs w:val="21"/>
                <w:highlight w:val="none"/>
              </w:rPr>
              <w:t>响应情况</w:t>
            </w:r>
          </w:p>
        </w:tc>
        <w:tc>
          <w:tcPr>
            <w:tcW w:w="831" w:type="pct"/>
            <w:vAlign w:val="center"/>
          </w:tcPr>
          <w:p>
            <w:pPr>
              <w:pStyle w:val="14"/>
              <w:spacing w:line="240" w:lineRule="auto"/>
              <w:ind w:firstLine="0"/>
              <w:jc w:val="center"/>
              <w:rPr>
                <w:rFonts w:ascii="宋体" w:hAnsi="宋体" w:eastAsia="宋体"/>
                <w:b/>
                <w:color w:val="auto"/>
                <w:sz w:val="21"/>
                <w:szCs w:val="21"/>
                <w:highlight w:val="none"/>
              </w:rPr>
            </w:pPr>
            <w:r>
              <w:rPr>
                <w:rFonts w:ascii="宋体" w:hAnsi="宋体" w:eastAsia="宋体"/>
                <w:b/>
                <w:color w:val="auto"/>
                <w:sz w:val="21"/>
                <w:szCs w:val="21"/>
                <w:highlight w:val="none"/>
              </w:rPr>
              <w:t>偏离情况</w:t>
            </w:r>
          </w:p>
        </w:tc>
        <w:tc>
          <w:tcPr>
            <w:tcW w:w="449" w:type="pct"/>
            <w:vAlign w:val="center"/>
          </w:tcPr>
          <w:p>
            <w:pPr>
              <w:pStyle w:val="14"/>
              <w:spacing w:line="240" w:lineRule="auto"/>
              <w:ind w:firstLine="0"/>
              <w:jc w:val="center"/>
              <w:rPr>
                <w:rFonts w:ascii="宋体" w:hAnsi="宋体" w:eastAsia="宋体"/>
                <w:b/>
                <w:color w:val="auto"/>
                <w:sz w:val="21"/>
                <w:szCs w:val="21"/>
                <w:highlight w:val="none"/>
              </w:rPr>
            </w:pPr>
            <w:r>
              <w:rPr>
                <w:rFonts w:ascii="宋体" w:hAnsi="宋体" w:eastAsia="宋体"/>
                <w:b/>
                <w:color w:val="auto"/>
                <w:sz w:val="21"/>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highlight w:val="none"/>
              </w:rPr>
            </w:pPr>
            <w:r>
              <w:rPr>
                <w:rFonts w:ascii="宋体" w:hAnsi="宋体"/>
                <w:bCs/>
                <w:color w:val="auto"/>
                <w:szCs w:val="21"/>
                <w:highlight w:val="none"/>
              </w:rPr>
              <w:t>1</w:t>
            </w:r>
          </w:p>
        </w:tc>
        <w:tc>
          <w:tcPr>
            <w:tcW w:w="2462" w:type="pct"/>
            <w:vAlign w:val="center"/>
          </w:tcPr>
          <w:p>
            <w:pPr>
              <w:rPr>
                <w:rFonts w:ascii="宋体" w:hAnsi="宋体"/>
                <w:bCs/>
                <w:color w:val="auto"/>
                <w:szCs w:val="21"/>
                <w:highlight w:val="none"/>
              </w:rPr>
            </w:pPr>
          </w:p>
        </w:tc>
        <w:tc>
          <w:tcPr>
            <w:tcW w:w="748" w:type="pct"/>
            <w:vAlign w:val="center"/>
          </w:tcPr>
          <w:p>
            <w:pPr>
              <w:pStyle w:val="2"/>
              <w:spacing w:line="240" w:lineRule="auto"/>
              <w:jc w:val="center"/>
              <w:rPr>
                <w:rFonts w:ascii="宋体" w:hAnsi="宋体"/>
                <w:bCs/>
                <w:color w:val="auto"/>
                <w:szCs w:val="21"/>
                <w:highlight w:val="none"/>
              </w:rPr>
            </w:pPr>
          </w:p>
        </w:tc>
        <w:tc>
          <w:tcPr>
            <w:tcW w:w="831" w:type="pct"/>
            <w:vAlign w:val="center"/>
          </w:tcPr>
          <w:p>
            <w:pPr>
              <w:pStyle w:val="2"/>
              <w:spacing w:line="240" w:lineRule="auto"/>
              <w:jc w:val="center"/>
              <w:rPr>
                <w:rFonts w:ascii="宋体" w:hAnsi="宋体"/>
                <w:bCs/>
                <w:color w:val="auto"/>
                <w:szCs w:val="21"/>
                <w:highlight w:val="none"/>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highlight w:val="none"/>
              </w:rPr>
            </w:pPr>
            <w:r>
              <w:rPr>
                <w:rFonts w:ascii="宋体" w:hAnsi="宋体"/>
                <w:bCs/>
                <w:color w:val="auto"/>
                <w:szCs w:val="21"/>
                <w:highlight w:val="none"/>
              </w:rPr>
              <w:t>2</w:t>
            </w:r>
          </w:p>
        </w:tc>
        <w:tc>
          <w:tcPr>
            <w:tcW w:w="2462" w:type="pct"/>
            <w:vAlign w:val="center"/>
          </w:tcPr>
          <w:p>
            <w:pPr>
              <w:rPr>
                <w:rFonts w:ascii="宋体" w:hAnsi="宋体"/>
                <w:bCs/>
                <w:color w:val="auto"/>
                <w:szCs w:val="21"/>
                <w:highlight w:val="none"/>
              </w:rPr>
            </w:pPr>
          </w:p>
        </w:tc>
        <w:tc>
          <w:tcPr>
            <w:tcW w:w="748" w:type="pct"/>
            <w:vAlign w:val="center"/>
          </w:tcPr>
          <w:p>
            <w:pPr>
              <w:pStyle w:val="2"/>
              <w:spacing w:line="240" w:lineRule="auto"/>
              <w:jc w:val="center"/>
              <w:rPr>
                <w:rFonts w:ascii="宋体" w:hAnsi="宋体"/>
                <w:bCs/>
                <w:color w:val="auto"/>
                <w:szCs w:val="21"/>
                <w:highlight w:val="none"/>
              </w:rPr>
            </w:pPr>
          </w:p>
        </w:tc>
        <w:tc>
          <w:tcPr>
            <w:tcW w:w="831" w:type="pct"/>
            <w:vAlign w:val="center"/>
          </w:tcPr>
          <w:p>
            <w:pPr>
              <w:pStyle w:val="2"/>
              <w:spacing w:line="240" w:lineRule="auto"/>
              <w:jc w:val="center"/>
              <w:rPr>
                <w:rFonts w:ascii="宋体" w:hAnsi="宋体"/>
                <w:bCs/>
                <w:color w:val="auto"/>
                <w:szCs w:val="21"/>
                <w:highlight w:val="none"/>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highlight w:val="none"/>
              </w:rPr>
            </w:pPr>
            <w:r>
              <w:rPr>
                <w:rFonts w:ascii="宋体" w:hAnsi="宋体"/>
                <w:bCs/>
                <w:color w:val="auto"/>
                <w:szCs w:val="21"/>
                <w:highlight w:val="none"/>
              </w:rPr>
              <w:t>…</w:t>
            </w:r>
          </w:p>
        </w:tc>
        <w:tc>
          <w:tcPr>
            <w:tcW w:w="2462" w:type="pct"/>
            <w:vAlign w:val="center"/>
          </w:tcPr>
          <w:p>
            <w:pPr>
              <w:jc w:val="center"/>
              <w:rPr>
                <w:rFonts w:ascii="宋体" w:hAnsi="宋体"/>
                <w:bCs/>
                <w:color w:val="auto"/>
                <w:szCs w:val="21"/>
                <w:highlight w:val="none"/>
              </w:rPr>
            </w:pPr>
            <w:r>
              <w:rPr>
                <w:rFonts w:ascii="宋体" w:hAnsi="宋体"/>
                <w:bCs/>
                <w:color w:val="auto"/>
                <w:szCs w:val="21"/>
                <w:highlight w:val="none"/>
              </w:rPr>
              <w:t>…</w:t>
            </w:r>
          </w:p>
        </w:tc>
        <w:tc>
          <w:tcPr>
            <w:tcW w:w="748" w:type="pct"/>
            <w:vAlign w:val="center"/>
          </w:tcPr>
          <w:p>
            <w:pPr>
              <w:pStyle w:val="14"/>
              <w:ind w:firstLine="0"/>
              <w:jc w:val="center"/>
              <w:rPr>
                <w:rFonts w:ascii="宋体" w:hAnsi="宋体" w:eastAsia="宋体"/>
                <w:bCs/>
                <w:color w:val="auto"/>
                <w:sz w:val="21"/>
                <w:szCs w:val="21"/>
                <w:highlight w:val="none"/>
              </w:rPr>
            </w:pPr>
          </w:p>
        </w:tc>
        <w:tc>
          <w:tcPr>
            <w:tcW w:w="831" w:type="pct"/>
            <w:vAlign w:val="center"/>
          </w:tcPr>
          <w:p>
            <w:pPr>
              <w:pStyle w:val="14"/>
              <w:ind w:firstLine="0"/>
              <w:jc w:val="center"/>
              <w:rPr>
                <w:rFonts w:ascii="宋体" w:hAnsi="宋体" w:eastAsia="宋体"/>
                <w:bCs/>
                <w:color w:val="auto"/>
                <w:sz w:val="21"/>
                <w:szCs w:val="21"/>
                <w:highlight w:val="none"/>
              </w:rPr>
            </w:pPr>
          </w:p>
        </w:tc>
        <w:tc>
          <w:tcPr>
            <w:tcW w:w="449" w:type="pct"/>
            <w:vAlign w:val="center"/>
          </w:tcPr>
          <w:p>
            <w:pPr>
              <w:pStyle w:val="14"/>
              <w:ind w:firstLine="0"/>
              <w:jc w:val="center"/>
              <w:rPr>
                <w:rFonts w:ascii="宋体" w:hAnsi="宋体" w:eastAsia="宋体"/>
                <w:bCs/>
                <w:color w:val="auto"/>
                <w:sz w:val="21"/>
                <w:szCs w:val="21"/>
                <w:highlight w:val="none"/>
              </w:rPr>
            </w:pPr>
          </w:p>
        </w:tc>
      </w:tr>
    </w:tbl>
    <w:p>
      <w:pPr>
        <w:pStyle w:val="14"/>
        <w:ind w:firstLine="0"/>
        <w:rPr>
          <w:rFonts w:ascii="宋体" w:hAnsi="宋体" w:eastAsia="宋体"/>
          <w:color w:val="auto"/>
          <w:sz w:val="21"/>
          <w:szCs w:val="21"/>
          <w:highlight w:val="none"/>
        </w:rPr>
      </w:pPr>
      <w:r>
        <w:rPr>
          <w:rFonts w:ascii="宋体" w:hAnsi="宋体" w:eastAsia="宋体"/>
          <w:color w:val="auto"/>
          <w:sz w:val="21"/>
          <w:szCs w:val="21"/>
          <w:highlight w:val="none"/>
        </w:rPr>
        <w:t>说明：</w:t>
      </w:r>
    </w:p>
    <w:p>
      <w:pPr>
        <w:pStyle w:val="14"/>
        <w:rPr>
          <w:rFonts w:ascii="宋体" w:hAnsi="宋体" w:eastAsia="宋体"/>
          <w:bCs/>
          <w:color w:val="auto"/>
          <w:sz w:val="21"/>
          <w:szCs w:val="21"/>
          <w:highlight w:val="none"/>
        </w:rPr>
      </w:pPr>
      <w:r>
        <w:rPr>
          <w:rFonts w:ascii="宋体" w:hAnsi="宋体" w:eastAsia="宋体"/>
          <w:bCs/>
          <w:color w:val="auto"/>
          <w:sz w:val="21"/>
          <w:szCs w:val="21"/>
          <w:highlight w:val="none"/>
        </w:rPr>
        <w:t>1.</w:t>
      </w:r>
      <w:r>
        <w:rPr>
          <w:rFonts w:hint="eastAsia" w:ascii="宋体" w:hAnsi="宋体" w:eastAsia="宋体"/>
          <w:bCs/>
          <w:color w:val="auto"/>
          <w:sz w:val="21"/>
          <w:szCs w:val="21"/>
          <w:highlight w:val="none"/>
        </w:rPr>
        <w:t>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4"/>
        <w:rPr>
          <w:rFonts w:ascii="宋体" w:hAnsi="宋体" w:eastAsia="宋体"/>
          <w:bCs/>
          <w:color w:val="auto"/>
          <w:sz w:val="21"/>
          <w:szCs w:val="21"/>
          <w:highlight w:val="none"/>
        </w:rPr>
      </w:pPr>
      <w:r>
        <w:rPr>
          <w:rFonts w:ascii="宋体" w:hAnsi="宋体" w:eastAsia="宋体"/>
          <w:bCs/>
          <w:color w:val="auto"/>
          <w:sz w:val="21"/>
          <w:szCs w:val="21"/>
          <w:highlight w:val="none"/>
        </w:rPr>
        <w:t>2.</w:t>
      </w:r>
      <w:r>
        <w:rPr>
          <w:rFonts w:hint="eastAsia" w:ascii="宋体" w:hAnsi="宋体" w:eastAsia="宋体"/>
          <w:bCs/>
          <w:color w:val="auto"/>
          <w:sz w:val="21"/>
          <w:szCs w:val="21"/>
          <w:highlight w:val="none"/>
        </w:rPr>
        <w:t>“响应情况”应填写供应商的具体承诺，如果供应商承诺完全按照磋商文件规定执行的，也可以填写“完全按照磋商文件规定执行”</w:t>
      </w:r>
      <w:r>
        <w:rPr>
          <w:rFonts w:ascii="宋体" w:hAnsi="宋体" w:eastAsia="宋体"/>
          <w:bCs/>
          <w:color w:val="auto"/>
          <w:sz w:val="21"/>
          <w:szCs w:val="21"/>
          <w:highlight w:val="none"/>
        </w:rPr>
        <w:t>。</w:t>
      </w:r>
    </w:p>
    <w:p>
      <w:pPr>
        <w:pStyle w:val="14"/>
        <w:rPr>
          <w:rFonts w:ascii="宋体" w:hAnsi="宋体" w:eastAsia="宋体"/>
          <w:bCs/>
          <w:color w:val="auto"/>
          <w:sz w:val="21"/>
          <w:szCs w:val="21"/>
          <w:highlight w:val="none"/>
        </w:rPr>
      </w:pPr>
      <w:r>
        <w:rPr>
          <w:rFonts w:ascii="宋体" w:hAnsi="宋体" w:eastAsia="宋体"/>
          <w:bCs/>
          <w:color w:val="auto"/>
          <w:sz w:val="21"/>
          <w:szCs w:val="21"/>
          <w:highlight w:val="none"/>
        </w:rPr>
        <w:t>3.“偏离情况”项填写“正偏离”或“无偏离”或“负偏离”，</w:t>
      </w:r>
      <w:r>
        <w:rPr>
          <w:rFonts w:hint="eastAsia" w:ascii="宋体" w:hAnsi="宋体" w:eastAsia="宋体"/>
          <w:bCs/>
          <w:color w:val="auto"/>
          <w:sz w:val="21"/>
          <w:szCs w:val="21"/>
          <w:highlight w:val="none"/>
        </w:rPr>
        <w:t>供应商</w:t>
      </w:r>
      <w:r>
        <w:rPr>
          <w:rFonts w:ascii="宋体" w:hAnsi="宋体" w:eastAsia="宋体"/>
          <w:bCs/>
          <w:color w:val="auto"/>
          <w:sz w:val="21"/>
          <w:szCs w:val="21"/>
          <w:highlight w:val="none"/>
        </w:rPr>
        <w:t>须真实体现偏离情况。其中正偏离是指承诺优于</w:t>
      </w:r>
      <w:r>
        <w:rPr>
          <w:rFonts w:hint="eastAsia" w:ascii="宋体" w:hAnsi="宋体" w:eastAsia="宋体"/>
          <w:bCs/>
          <w:color w:val="auto"/>
          <w:sz w:val="21"/>
          <w:szCs w:val="21"/>
          <w:highlight w:val="none"/>
        </w:rPr>
        <w:t>磋商</w:t>
      </w:r>
      <w:r>
        <w:rPr>
          <w:rFonts w:ascii="宋体" w:hAnsi="宋体" w:eastAsia="宋体"/>
          <w:bCs/>
          <w:color w:val="auto"/>
          <w:sz w:val="21"/>
          <w:szCs w:val="21"/>
          <w:highlight w:val="none"/>
        </w:rPr>
        <w:t>文件所规定的实质性条款内容；无偏离是指承诺完整满足</w:t>
      </w:r>
      <w:r>
        <w:rPr>
          <w:rFonts w:hint="eastAsia" w:ascii="宋体" w:hAnsi="宋体" w:eastAsia="宋体"/>
          <w:bCs/>
          <w:color w:val="auto"/>
          <w:sz w:val="21"/>
          <w:szCs w:val="21"/>
          <w:highlight w:val="none"/>
        </w:rPr>
        <w:t>磋商</w:t>
      </w:r>
      <w:r>
        <w:rPr>
          <w:rFonts w:ascii="宋体" w:hAnsi="宋体" w:eastAsia="宋体"/>
          <w:bCs/>
          <w:color w:val="auto"/>
          <w:sz w:val="21"/>
          <w:szCs w:val="21"/>
          <w:highlight w:val="none"/>
        </w:rPr>
        <w:t>文件所规定的实质性条款内容；负偏离是指承诺劣于</w:t>
      </w:r>
      <w:r>
        <w:rPr>
          <w:rFonts w:hint="eastAsia" w:ascii="宋体" w:hAnsi="宋体" w:eastAsia="宋体"/>
          <w:bCs/>
          <w:color w:val="auto"/>
          <w:sz w:val="21"/>
          <w:szCs w:val="21"/>
          <w:highlight w:val="none"/>
        </w:rPr>
        <w:t>磋商</w:t>
      </w:r>
      <w:r>
        <w:rPr>
          <w:rFonts w:ascii="宋体" w:hAnsi="宋体" w:eastAsia="宋体"/>
          <w:bCs/>
          <w:color w:val="auto"/>
          <w:sz w:val="21"/>
          <w:szCs w:val="21"/>
          <w:highlight w:val="none"/>
        </w:rPr>
        <w:t>文件所规定的实质性条款内容。</w:t>
      </w:r>
    </w:p>
    <w:p>
      <w:pPr>
        <w:pStyle w:val="14"/>
        <w:rPr>
          <w:rFonts w:ascii="宋体" w:hAnsi="宋体" w:eastAsia="宋体"/>
          <w:bCs/>
          <w:color w:val="auto"/>
          <w:sz w:val="21"/>
          <w:szCs w:val="21"/>
          <w:highlight w:val="none"/>
        </w:rPr>
      </w:pPr>
      <w:r>
        <w:rPr>
          <w:rFonts w:ascii="宋体" w:hAnsi="宋体" w:eastAsia="宋体"/>
          <w:bCs/>
          <w:color w:val="auto"/>
          <w:sz w:val="21"/>
          <w:szCs w:val="21"/>
          <w:highlight w:val="none"/>
        </w:rPr>
        <w:t>4.</w:t>
      </w:r>
      <w:r>
        <w:rPr>
          <w:rFonts w:hint="eastAsia" w:ascii="宋体" w:hAnsi="宋体" w:eastAsia="宋体"/>
          <w:bCs/>
          <w:color w:val="auto"/>
          <w:sz w:val="21"/>
          <w:szCs w:val="21"/>
          <w:highlight w:val="none"/>
        </w:rPr>
        <w:t>“说明”项填写具体的偏离情况，如“无偏离”可不用填写。</w:t>
      </w:r>
    </w:p>
    <w:p>
      <w:pPr>
        <w:rPr>
          <w:rFonts w:ascii="宋体" w:hAnsi="宋体"/>
          <w:color w:val="auto"/>
          <w:highlight w:val="none"/>
        </w:rPr>
      </w:pPr>
    </w:p>
    <w:p>
      <w:pPr>
        <w:rPr>
          <w:rFonts w:ascii="宋体" w:hAnsi="宋体"/>
          <w:color w:val="auto"/>
          <w:highlight w:val="none"/>
        </w:rPr>
      </w:pPr>
    </w:p>
    <w:p>
      <w:pPr>
        <w:pStyle w:val="356"/>
        <w:spacing w:line="480" w:lineRule="auto"/>
        <w:ind w:firstLine="0" w:firstLineChars="0"/>
        <w:jc w:val="right"/>
        <w:rPr>
          <w:color w:val="auto"/>
          <w:highlight w:val="none"/>
          <w:lang w:eastAsia="zh-CN"/>
        </w:rPr>
      </w:pPr>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jc w:val="right"/>
        <w:rPr>
          <w:rFonts w:ascii="宋体" w:hAnsi="宋体"/>
          <w:color w:val="auto"/>
          <w:sz w:val="24"/>
          <w:highlight w:val="none"/>
        </w:rPr>
      </w:pPr>
      <w:r>
        <w:rPr>
          <w:rFonts w:hint="eastAsia" w:ascii="宋体" w:hAnsi="宋体"/>
          <w:color w:val="auto"/>
          <w:sz w:val="24"/>
          <w:highlight w:val="none"/>
        </w:rPr>
        <w:t>日期：</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ascii="宋体" w:hAnsi="宋体"/>
          <w:color w:val="auto"/>
          <w:sz w:val="24"/>
          <w:highlight w:val="none"/>
        </w:rPr>
        <w:t>日</w:t>
      </w:r>
    </w:p>
    <w:p>
      <w:pPr>
        <w:rPr>
          <w:rFonts w:ascii="宋体" w:hAnsi="宋体"/>
          <w:color w:val="auto"/>
          <w:sz w:val="24"/>
          <w:highlight w:val="none"/>
        </w:rPr>
      </w:pPr>
    </w:p>
    <w:p>
      <w:pPr>
        <w:rPr>
          <w:rFonts w:ascii="宋体" w:hAnsi="宋体"/>
          <w:color w:val="auto"/>
          <w:sz w:val="24"/>
          <w:highlight w:val="none"/>
        </w:rPr>
      </w:pPr>
      <w:r>
        <w:rPr>
          <w:rFonts w:ascii="宋体" w:hAnsi="宋体"/>
          <w:color w:val="auto"/>
          <w:sz w:val="24"/>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r>
        <w:rPr>
          <w:rFonts w:hint="eastAsia" w:ascii="宋体" w:hAnsi="宋体"/>
          <w:color w:val="auto"/>
          <w:szCs w:val="24"/>
          <w:highlight w:val="none"/>
        </w:rPr>
        <w:t>采购需求技术响应表</w:t>
      </w:r>
    </w:p>
    <w:p>
      <w:pPr>
        <w:jc w:val="center"/>
        <w:rPr>
          <w:rFonts w:ascii="宋体" w:hAnsi="宋体"/>
          <w:color w:val="auto"/>
          <w:sz w:val="24"/>
          <w:highlight w:val="none"/>
        </w:rPr>
      </w:pPr>
      <w:r>
        <w:rPr>
          <w:rFonts w:hint="eastAsia" w:ascii="宋体" w:hAnsi="宋体" w:cs="宋体"/>
          <w:b/>
          <w:bCs/>
          <w:color w:val="auto"/>
          <w:sz w:val="28"/>
          <w:szCs w:val="28"/>
          <w:highlight w:val="none"/>
        </w:rPr>
        <w:t>采购需求</w:t>
      </w:r>
      <w:r>
        <w:rPr>
          <w:rFonts w:ascii="宋体" w:hAnsi="宋体" w:cs="宋体"/>
          <w:b/>
          <w:bCs/>
          <w:color w:val="auto"/>
          <w:sz w:val="28"/>
          <w:szCs w:val="28"/>
          <w:highlight w:val="none"/>
        </w:rPr>
        <w:t>响应表</w:t>
      </w:r>
    </w:p>
    <w:p>
      <w:pPr>
        <w:rPr>
          <w:rFonts w:ascii="宋体" w:hAnsi="宋体"/>
          <w:bCs/>
          <w:color w:val="auto"/>
          <w:sz w:val="24"/>
          <w:highlight w:val="none"/>
        </w:rPr>
      </w:pPr>
      <w:r>
        <w:rPr>
          <w:rFonts w:ascii="宋体" w:hAnsi="宋体"/>
          <w:bCs/>
          <w:color w:val="auto"/>
          <w:sz w:val="24"/>
          <w:highlight w:val="none"/>
        </w:rPr>
        <w:t>项目名称：</w:t>
      </w:r>
      <w:r>
        <w:rPr>
          <w:rFonts w:ascii="宋体" w:hAnsi="宋体"/>
          <w:bCs/>
          <w:color w:val="auto"/>
          <w:sz w:val="24"/>
          <w:highlight w:val="none"/>
          <w:u w:val="single"/>
        </w:rPr>
        <w:t xml:space="preserve">                 </w:t>
      </w:r>
      <w:r>
        <w:rPr>
          <w:rFonts w:ascii="宋体" w:hAnsi="宋体"/>
          <w:bCs/>
          <w:color w:val="auto"/>
          <w:sz w:val="24"/>
          <w:highlight w:val="none"/>
        </w:rPr>
        <w:t xml:space="preserve">  </w:t>
      </w:r>
    </w:p>
    <w:p>
      <w:pPr>
        <w:rPr>
          <w:rFonts w:ascii="宋体" w:hAnsi="宋体"/>
          <w:color w:val="auto"/>
          <w:sz w:val="24"/>
          <w:highlight w:val="none"/>
        </w:rPr>
      </w:pPr>
      <w:r>
        <w:rPr>
          <w:rFonts w:hint="eastAsia" w:ascii="宋体" w:hAnsi="宋体"/>
          <w:bCs/>
          <w:color w:val="auto"/>
          <w:sz w:val="24"/>
          <w:highlight w:val="none"/>
        </w:rPr>
        <w:t>项目编号</w:t>
      </w:r>
      <w:r>
        <w:rPr>
          <w:rFonts w:ascii="宋体" w:hAnsi="宋体"/>
          <w:bCs/>
          <w:color w:val="auto"/>
          <w:sz w:val="24"/>
          <w:highlight w:val="none"/>
        </w:rPr>
        <w:t>：_________________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1489"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磋商文件要求</w:t>
            </w:r>
          </w:p>
        </w:tc>
        <w:tc>
          <w:tcPr>
            <w:tcW w:w="896"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响应情况</w:t>
            </w:r>
          </w:p>
        </w:tc>
        <w:tc>
          <w:tcPr>
            <w:tcW w:w="1171"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偏离情况</w:t>
            </w:r>
          </w:p>
        </w:tc>
        <w:tc>
          <w:tcPr>
            <w:tcW w:w="921"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color w:val="auto"/>
                <w:szCs w:val="21"/>
                <w:highlight w:val="none"/>
              </w:rPr>
            </w:pPr>
            <w:r>
              <w:rPr>
                <w:rFonts w:hint="eastAsia" w:ascii="宋体" w:hAnsi="宋体"/>
                <w:b/>
                <w:color w:val="auto"/>
                <w:szCs w:val="21"/>
                <w:highlight w:val="none"/>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hint="eastAsia" w:ascii="宋体" w:hAnsi="宋体"/>
                <w:color w:val="auto"/>
                <w:szCs w:val="21"/>
                <w:highlight w:val="none"/>
              </w:rPr>
              <w:t>1</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hint="eastAsia" w:ascii="宋体" w:hAnsi="宋体"/>
                <w:color w:val="auto"/>
                <w:szCs w:val="21"/>
                <w:highlight w:val="none"/>
              </w:rPr>
              <w:t>2</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ascii="宋体" w:hAnsi="宋体"/>
                <w:color w:val="auto"/>
                <w:szCs w:val="21"/>
                <w:highlight w:val="none"/>
              </w:rPr>
              <w:t>……</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color w:val="auto"/>
                <w:szCs w:val="21"/>
                <w:highlight w:val="none"/>
              </w:rPr>
            </w:pPr>
            <w:r>
              <w:rPr>
                <w:rFonts w:hint="eastAsia" w:ascii="宋体" w:hAnsi="宋体"/>
                <w:b/>
                <w:color w:val="auto"/>
                <w:szCs w:val="21"/>
                <w:highlight w:val="none"/>
              </w:rPr>
              <w:t>一般条款（除带“</w:t>
            </w:r>
            <w:r>
              <w:rPr>
                <w:rFonts w:hint="eastAsia" w:ascii="宋体" w:hAnsi="宋体"/>
                <w:b/>
                <w:bCs/>
                <w:color w:val="auto"/>
                <w:szCs w:val="21"/>
                <w:highlight w:val="none"/>
              </w:rPr>
              <w:t>★</w:t>
            </w:r>
            <w:r>
              <w:rPr>
                <w:rFonts w:hint="eastAsia" w:ascii="宋体" w:hAnsi="宋体"/>
                <w:b/>
                <w:color w:val="auto"/>
                <w:szCs w:val="21"/>
                <w:highlight w:val="none"/>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ascii="宋体" w:hAnsi="宋体"/>
                <w:color w:val="auto"/>
                <w:szCs w:val="21"/>
                <w:highlight w:val="none"/>
              </w:rPr>
              <w:t>1</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ascii="宋体" w:hAnsi="宋体"/>
                <w:color w:val="auto"/>
                <w:szCs w:val="21"/>
                <w:highlight w:val="none"/>
              </w:rPr>
              <w:t>2</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ascii="宋体" w:hAnsi="宋体"/>
                <w:color w:val="auto"/>
                <w:szCs w:val="21"/>
                <w:highlight w:val="none"/>
              </w:rPr>
              <w:t>……</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bl>
    <w:p>
      <w:pPr>
        <w:adjustRightInd w:val="0"/>
        <w:snapToGrid w:val="0"/>
        <w:rPr>
          <w:rFonts w:ascii="宋体" w:hAnsi="宋体"/>
          <w:b/>
          <w:bCs/>
          <w:color w:val="auto"/>
          <w:szCs w:val="21"/>
          <w:highlight w:val="none"/>
        </w:rPr>
      </w:pPr>
      <w:r>
        <w:rPr>
          <w:rFonts w:hint="eastAsia" w:ascii="宋体" w:hAnsi="宋体"/>
          <w:b/>
          <w:bCs/>
          <w:color w:val="auto"/>
          <w:szCs w:val="21"/>
          <w:highlight w:val="none"/>
        </w:rPr>
        <w:t>说明：</w:t>
      </w:r>
    </w:p>
    <w:p>
      <w:pPr>
        <w:adjustRightInd w:val="0"/>
        <w:snapToGrid w:val="0"/>
        <w:ind w:firstLine="420" w:firstLineChars="200"/>
        <w:rPr>
          <w:rFonts w:ascii="宋体" w:hAnsi="宋体"/>
          <w:color w:val="auto"/>
          <w:szCs w:val="21"/>
          <w:highlight w:val="none"/>
        </w:rPr>
      </w:pPr>
      <w:r>
        <w:rPr>
          <w:rFonts w:hint="eastAsia" w:ascii="宋体" w:hAnsi="宋体"/>
          <w:color w:val="auto"/>
          <w:szCs w:val="21"/>
          <w:highlight w:val="none"/>
        </w:rPr>
        <w:t>1.供应商需对应磋商文件采购需求</w:t>
      </w:r>
      <w:r>
        <w:rPr>
          <w:rFonts w:hint="eastAsia" w:ascii="宋体" w:hAnsi="宋体"/>
          <w:bCs/>
          <w:color w:val="auto"/>
          <w:szCs w:val="21"/>
          <w:highlight w:val="none"/>
        </w:rPr>
        <w:t>“▲”</w:t>
      </w:r>
      <w:r>
        <w:rPr>
          <w:rFonts w:hint="eastAsia" w:ascii="宋体" w:hAnsi="宋体"/>
          <w:color w:val="auto"/>
          <w:szCs w:val="21"/>
          <w:highlight w:val="none"/>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对于除带“★”和“▲”之外的条款，如完全满足要求，也可在“磋商文件要求”处填写“所有条款”，“</w:t>
      </w:r>
      <w:bookmarkStart w:id="178" w:name="_Hlk70674986"/>
      <w:r>
        <w:rPr>
          <w:rFonts w:hint="eastAsia" w:ascii="宋体" w:hAnsi="宋体"/>
          <w:color w:val="auto"/>
          <w:szCs w:val="21"/>
          <w:highlight w:val="none"/>
        </w:rPr>
        <w:t>响应</w:t>
      </w:r>
      <w:bookmarkEnd w:id="178"/>
      <w:r>
        <w:rPr>
          <w:rFonts w:hint="eastAsia" w:ascii="宋体" w:hAnsi="宋体"/>
          <w:color w:val="auto"/>
          <w:szCs w:val="21"/>
          <w:highlight w:val="none"/>
        </w:rPr>
        <w:t>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.“响应情况”应填写供应商的具体承诺，如果供应商承诺完全按照磋商文件规定执行的，也可以填写“完全按照磋商文件规定执行”。</w:t>
      </w:r>
    </w:p>
    <w:p>
      <w:pPr>
        <w:adjustRightInd w:val="0"/>
        <w:snapToGrid w:val="0"/>
        <w:ind w:firstLine="420" w:firstLineChars="20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4"/>
        <w:rPr>
          <w:rFonts w:ascii="宋体" w:hAnsi="宋体" w:eastAsia="宋体"/>
          <w:bCs/>
          <w:color w:val="auto"/>
          <w:sz w:val="21"/>
          <w:szCs w:val="21"/>
          <w:highlight w:val="none"/>
        </w:rPr>
      </w:pPr>
      <w:bookmarkStart w:id="179" w:name="_Hlk104237726"/>
      <w:r>
        <w:rPr>
          <w:rFonts w:ascii="宋体" w:hAnsi="宋体" w:eastAsia="宋体"/>
          <w:bCs/>
          <w:color w:val="auto"/>
          <w:sz w:val="21"/>
          <w:szCs w:val="21"/>
          <w:highlight w:val="none"/>
        </w:rPr>
        <w:t>5.</w:t>
      </w:r>
      <w:r>
        <w:rPr>
          <w:rFonts w:hint="eastAsia" w:ascii="宋体" w:hAnsi="宋体" w:eastAsia="宋体"/>
          <w:bCs/>
          <w:color w:val="auto"/>
          <w:sz w:val="21"/>
          <w:szCs w:val="21"/>
          <w:highlight w:val="none"/>
        </w:rPr>
        <w:t>“说明”项填写具体的偏离情况，如“无偏离”可不用填写。</w:t>
      </w:r>
    </w:p>
    <w:bookmarkEnd w:id="179"/>
    <w:p>
      <w:pPr>
        <w:adjustRightInd w:val="0"/>
        <w:snapToGrid w:val="0"/>
        <w:rPr>
          <w:rFonts w:ascii="宋体" w:hAnsi="宋体"/>
          <w:color w:val="auto"/>
          <w:szCs w:val="21"/>
          <w:highlight w:val="none"/>
        </w:rPr>
      </w:pP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jc w:val="right"/>
        <w:rPr>
          <w:rFonts w:ascii="宋体" w:hAnsi="宋体"/>
          <w:color w:val="auto"/>
          <w:sz w:val="24"/>
          <w:highlight w:val="none"/>
          <w:u w:val="single"/>
        </w:rPr>
      </w:pPr>
      <w:r>
        <w:rPr>
          <w:rFonts w:hint="eastAsia" w:ascii="宋体" w:hAnsi="宋体"/>
          <w:color w:val="auto"/>
          <w:sz w:val="24"/>
          <w:highlight w:val="none"/>
        </w:rPr>
        <w:t>日期：</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hint="eastAsia" w:ascii="宋体" w:hAnsi="宋体"/>
          <w:color w:val="auto"/>
          <w:sz w:val="24"/>
          <w:highlight w:val="none"/>
        </w:rPr>
        <w:t>日</w:t>
      </w:r>
      <w:r>
        <w:rPr>
          <w:rFonts w:ascii="宋体" w:hAnsi="宋体"/>
          <w:color w:val="auto"/>
          <w:sz w:val="24"/>
          <w:highlight w:val="none"/>
          <w:u w:val="single"/>
        </w:rPr>
        <w:t xml:space="preserve"> </w:t>
      </w:r>
    </w:p>
    <w:p>
      <w:pPr>
        <w:pStyle w:val="4"/>
        <w:keepNext w:val="0"/>
        <w:keepLines w:val="0"/>
        <w:numPr>
          <w:ilvl w:val="0"/>
          <w:numId w:val="27"/>
        </w:numPr>
        <w:spacing w:before="120" w:after="120" w:line="240" w:lineRule="auto"/>
        <w:rPr>
          <w:rFonts w:ascii="宋体" w:hAnsi="宋体"/>
          <w:color w:val="auto"/>
          <w:szCs w:val="24"/>
          <w:highlight w:val="none"/>
        </w:rPr>
      </w:pPr>
      <w:r>
        <w:rPr>
          <w:rFonts w:hint="eastAsia" w:ascii="宋体" w:hAnsi="宋体"/>
          <w:color w:val="auto"/>
          <w:szCs w:val="24"/>
          <w:highlight w:val="none"/>
        </w:rPr>
        <w:t>采购需求商务响应表</w:t>
      </w:r>
    </w:p>
    <w:p>
      <w:pPr>
        <w:jc w:val="center"/>
        <w:rPr>
          <w:rFonts w:ascii="宋体" w:hAnsi="宋体"/>
          <w:color w:val="auto"/>
          <w:sz w:val="24"/>
          <w:highlight w:val="none"/>
        </w:rPr>
      </w:pPr>
      <w:r>
        <w:rPr>
          <w:rFonts w:hint="eastAsia" w:ascii="宋体" w:hAnsi="宋体" w:cs="宋体"/>
          <w:b/>
          <w:bCs/>
          <w:color w:val="auto"/>
          <w:sz w:val="28"/>
          <w:szCs w:val="28"/>
          <w:highlight w:val="none"/>
        </w:rPr>
        <w:t>采购需求</w:t>
      </w:r>
      <w:r>
        <w:rPr>
          <w:rFonts w:ascii="宋体" w:hAnsi="宋体" w:cs="宋体"/>
          <w:b/>
          <w:bCs/>
          <w:color w:val="auto"/>
          <w:sz w:val="28"/>
          <w:szCs w:val="28"/>
          <w:highlight w:val="none"/>
        </w:rPr>
        <w:t>响应表</w:t>
      </w:r>
    </w:p>
    <w:p>
      <w:pPr>
        <w:rPr>
          <w:rFonts w:ascii="宋体" w:hAnsi="宋体"/>
          <w:bCs/>
          <w:color w:val="auto"/>
          <w:sz w:val="24"/>
          <w:highlight w:val="none"/>
        </w:rPr>
      </w:pPr>
      <w:r>
        <w:rPr>
          <w:rFonts w:ascii="宋体" w:hAnsi="宋体"/>
          <w:bCs/>
          <w:color w:val="auto"/>
          <w:sz w:val="24"/>
          <w:highlight w:val="none"/>
        </w:rPr>
        <w:t>项目名称：</w:t>
      </w:r>
      <w:r>
        <w:rPr>
          <w:rFonts w:ascii="宋体" w:hAnsi="宋体"/>
          <w:bCs/>
          <w:color w:val="auto"/>
          <w:sz w:val="24"/>
          <w:highlight w:val="none"/>
          <w:u w:val="single"/>
        </w:rPr>
        <w:t xml:space="preserve">                 </w:t>
      </w:r>
      <w:r>
        <w:rPr>
          <w:rFonts w:ascii="宋体" w:hAnsi="宋体"/>
          <w:bCs/>
          <w:color w:val="auto"/>
          <w:sz w:val="24"/>
          <w:highlight w:val="none"/>
        </w:rPr>
        <w:t xml:space="preserve">  </w:t>
      </w:r>
    </w:p>
    <w:p>
      <w:pPr>
        <w:rPr>
          <w:rFonts w:ascii="宋体" w:hAnsi="宋体"/>
          <w:color w:val="auto"/>
          <w:sz w:val="24"/>
          <w:highlight w:val="none"/>
        </w:rPr>
      </w:pPr>
      <w:r>
        <w:rPr>
          <w:rFonts w:hint="eastAsia" w:ascii="宋体" w:hAnsi="宋体"/>
          <w:bCs/>
          <w:color w:val="auto"/>
          <w:sz w:val="24"/>
          <w:highlight w:val="none"/>
        </w:rPr>
        <w:t>项目编号</w:t>
      </w:r>
      <w:r>
        <w:rPr>
          <w:rFonts w:ascii="宋体" w:hAnsi="宋体"/>
          <w:bCs/>
          <w:color w:val="auto"/>
          <w:sz w:val="24"/>
          <w:highlight w:val="none"/>
        </w:rPr>
        <w:t>：_________________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1489"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磋商文件要求</w:t>
            </w:r>
          </w:p>
        </w:tc>
        <w:tc>
          <w:tcPr>
            <w:tcW w:w="896"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响应情况</w:t>
            </w:r>
          </w:p>
        </w:tc>
        <w:tc>
          <w:tcPr>
            <w:tcW w:w="1171"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偏离情况</w:t>
            </w:r>
          </w:p>
        </w:tc>
        <w:tc>
          <w:tcPr>
            <w:tcW w:w="921" w:type="pct"/>
            <w:vAlign w:val="center"/>
          </w:tcPr>
          <w:p>
            <w:pPr>
              <w:adjustRightInd w:val="0"/>
              <w:snapToGrid w:val="0"/>
              <w:spacing w:line="276" w:lineRule="auto"/>
              <w:jc w:val="center"/>
              <w:rPr>
                <w:rFonts w:ascii="宋体" w:hAnsi="宋体"/>
                <w:b/>
                <w:bCs/>
                <w:color w:val="auto"/>
                <w:szCs w:val="21"/>
                <w:highlight w:val="none"/>
              </w:rPr>
            </w:pPr>
            <w:r>
              <w:rPr>
                <w:rFonts w:hint="eastAsia" w:ascii="宋体" w:hAnsi="宋体"/>
                <w:b/>
                <w:bCs/>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color w:val="auto"/>
                <w:szCs w:val="21"/>
                <w:highlight w:val="none"/>
              </w:rPr>
            </w:pPr>
            <w:r>
              <w:rPr>
                <w:rFonts w:hint="eastAsia" w:ascii="宋体" w:hAnsi="宋体"/>
                <w:b/>
                <w:color w:val="auto"/>
                <w:szCs w:val="21"/>
                <w:highlight w:val="none"/>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hint="eastAsia" w:ascii="宋体" w:hAnsi="宋体"/>
                <w:color w:val="auto"/>
                <w:szCs w:val="21"/>
                <w:highlight w:val="none"/>
              </w:rPr>
              <w:t>1</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hint="eastAsia" w:ascii="宋体" w:hAnsi="宋体"/>
                <w:color w:val="auto"/>
                <w:szCs w:val="21"/>
                <w:highlight w:val="none"/>
              </w:rPr>
              <w:t>2</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ascii="宋体" w:hAnsi="宋体"/>
                <w:color w:val="auto"/>
                <w:szCs w:val="21"/>
                <w:highlight w:val="none"/>
              </w:rPr>
              <w:t>……</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color w:val="auto"/>
                <w:szCs w:val="21"/>
                <w:highlight w:val="none"/>
              </w:rPr>
            </w:pPr>
            <w:r>
              <w:rPr>
                <w:rFonts w:hint="eastAsia" w:ascii="宋体" w:hAnsi="宋体"/>
                <w:b/>
                <w:color w:val="auto"/>
                <w:szCs w:val="21"/>
                <w:highlight w:val="none"/>
              </w:rPr>
              <w:t>一般条款（除带“</w:t>
            </w:r>
            <w:r>
              <w:rPr>
                <w:rFonts w:hint="eastAsia" w:ascii="宋体" w:hAnsi="宋体"/>
                <w:b/>
                <w:bCs/>
                <w:color w:val="auto"/>
                <w:szCs w:val="21"/>
                <w:highlight w:val="none"/>
              </w:rPr>
              <w:t>★</w:t>
            </w:r>
            <w:r>
              <w:rPr>
                <w:rFonts w:hint="eastAsia" w:ascii="宋体" w:hAnsi="宋体"/>
                <w:b/>
                <w:color w:val="auto"/>
                <w:szCs w:val="21"/>
                <w:highlight w:val="none"/>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ascii="宋体" w:hAnsi="宋体"/>
                <w:color w:val="auto"/>
                <w:szCs w:val="21"/>
                <w:highlight w:val="none"/>
              </w:rPr>
              <w:t>1</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ascii="宋体" w:hAnsi="宋体"/>
                <w:color w:val="auto"/>
                <w:szCs w:val="21"/>
                <w:highlight w:val="none"/>
              </w:rPr>
              <w:t>2</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highlight w:val="none"/>
              </w:rPr>
            </w:pPr>
            <w:r>
              <w:rPr>
                <w:rFonts w:ascii="宋体" w:hAnsi="宋体"/>
                <w:color w:val="auto"/>
                <w:szCs w:val="21"/>
                <w:highlight w:val="none"/>
              </w:rPr>
              <w:t>……</w:t>
            </w:r>
          </w:p>
        </w:tc>
        <w:tc>
          <w:tcPr>
            <w:tcW w:w="1489" w:type="pct"/>
            <w:vAlign w:val="center"/>
          </w:tcPr>
          <w:p>
            <w:pPr>
              <w:adjustRightInd w:val="0"/>
              <w:snapToGrid w:val="0"/>
              <w:spacing w:line="276" w:lineRule="auto"/>
              <w:jc w:val="center"/>
              <w:rPr>
                <w:rFonts w:ascii="宋体" w:hAnsi="宋体"/>
                <w:color w:val="auto"/>
                <w:szCs w:val="21"/>
                <w:highlight w:val="none"/>
              </w:rPr>
            </w:pPr>
          </w:p>
        </w:tc>
        <w:tc>
          <w:tcPr>
            <w:tcW w:w="896" w:type="pct"/>
            <w:vAlign w:val="center"/>
          </w:tcPr>
          <w:p>
            <w:pPr>
              <w:adjustRightInd w:val="0"/>
              <w:snapToGrid w:val="0"/>
              <w:spacing w:line="276" w:lineRule="auto"/>
              <w:jc w:val="center"/>
              <w:rPr>
                <w:rFonts w:ascii="宋体" w:hAnsi="宋体"/>
                <w:color w:val="auto"/>
                <w:szCs w:val="21"/>
                <w:highlight w:val="none"/>
              </w:rPr>
            </w:pPr>
          </w:p>
        </w:tc>
        <w:tc>
          <w:tcPr>
            <w:tcW w:w="1171" w:type="pct"/>
            <w:vAlign w:val="center"/>
          </w:tcPr>
          <w:p>
            <w:pPr>
              <w:adjustRightInd w:val="0"/>
              <w:snapToGrid w:val="0"/>
              <w:spacing w:line="276" w:lineRule="auto"/>
              <w:jc w:val="center"/>
              <w:rPr>
                <w:rFonts w:ascii="宋体" w:hAnsi="宋体"/>
                <w:color w:val="auto"/>
                <w:szCs w:val="21"/>
                <w:highlight w:val="none"/>
              </w:rPr>
            </w:pPr>
          </w:p>
        </w:tc>
        <w:tc>
          <w:tcPr>
            <w:tcW w:w="921" w:type="pct"/>
            <w:vAlign w:val="center"/>
          </w:tcPr>
          <w:p>
            <w:pPr>
              <w:adjustRightInd w:val="0"/>
              <w:snapToGrid w:val="0"/>
              <w:spacing w:line="276" w:lineRule="auto"/>
              <w:jc w:val="center"/>
              <w:rPr>
                <w:rFonts w:ascii="宋体" w:hAnsi="宋体"/>
                <w:color w:val="auto"/>
                <w:szCs w:val="21"/>
                <w:highlight w:val="none"/>
              </w:rPr>
            </w:pPr>
          </w:p>
        </w:tc>
      </w:tr>
    </w:tbl>
    <w:p>
      <w:pPr>
        <w:adjustRightInd w:val="0"/>
        <w:snapToGrid w:val="0"/>
        <w:rPr>
          <w:rFonts w:ascii="宋体" w:hAnsi="宋体"/>
          <w:b/>
          <w:bCs/>
          <w:color w:val="auto"/>
          <w:szCs w:val="21"/>
          <w:highlight w:val="none"/>
        </w:rPr>
      </w:pPr>
      <w:r>
        <w:rPr>
          <w:rFonts w:hint="eastAsia" w:ascii="宋体" w:hAnsi="宋体"/>
          <w:b/>
          <w:bCs/>
          <w:color w:val="auto"/>
          <w:szCs w:val="21"/>
          <w:highlight w:val="none"/>
        </w:rPr>
        <w:t>说明：</w:t>
      </w:r>
    </w:p>
    <w:p>
      <w:pPr>
        <w:adjustRightInd w:val="0"/>
        <w:snapToGrid w:val="0"/>
        <w:ind w:firstLine="420" w:firstLineChars="200"/>
        <w:rPr>
          <w:rFonts w:ascii="宋体" w:hAnsi="宋体"/>
          <w:color w:val="auto"/>
          <w:szCs w:val="21"/>
          <w:highlight w:val="none"/>
        </w:rPr>
      </w:pPr>
      <w:r>
        <w:rPr>
          <w:rFonts w:hint="eastAsia" w:ascii="宋体" w:hAnsi="宋体"/>
          <w:color w:val="auto"/>
          <w:szCs w:val="21"/>
          <w:highlight w:val="none"/>
        </w:rPr>
        <w:t>1.供应商需对应磋商文件采购需求</w:t>
      </w:r>
      <w:r>
        <w:rPr>
          <w:rFonts w:hint="eastAsia" w:ascii="宋体" w:hAnsi="宋体"/>
          <w:bCs/>
          <w:color w:val="auto"/>
          <w:szCs w:val="21"/>
          <w:highlight w:val="none"/>
        </w:rPr>
        <w:t>“▲”</w:t>
      </w:r>
      <w:r>
        <w:rPr>
          <w:rFonts w:hint="eastAsia" w:ascii="宋体" w:hAnsi="宋体"/>
          <w:color w:val="auto"/>
          <w:szCs w:val="21"/>
          <w:highlight w:val="none"/>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对于除带“★”和“▲”之外的条款，如完全满足要求，也可在“磋商文件要求”处填写“所有条款”，“响应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.“响应情况”应填写供应商的具体承诺，如果供应商承诺完全按照磋商文件规定执行的，也可以填写“完全按照磋商文件规定执行”。</w:t>
      </w:r>
    </w:p>
    <w:p>
      <w:pPr>
        <w:adjustRightInd w:val="0"/>
        <w:snapToGrid w:val="0"/>
        <w:ind w:firstLine="420" w:firstLineChars="20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4"/>
        <w:rPr>
          <w:rFonts w:ascii="宋体" w:hAnsi="宋体" w:eastAsia="宋体"/>
          <w:bCs/>
          <w:color w:val="auto"/>
          <w:sz w:val="21"/>
          <w:szCs w:val="21"/>
          <w:highlight w:val="none"/>
        </w:rPr>
      </w:pPr>
      <w:r>
        <w:rPr>
          <w:rFonts w:ascii="宋体" w:hAnsi="宋体" w:eastAsia="宋体"/>
          <w:bCs/>
          <w:color w:val="auto"/>
          <w:sz w:val="21"/>
          <w:szCs w:val="21"/>
          <w:highlight w:val="none"/>
        </w:rPr>
        <w:t>5.</w:t>
      </w:r>
      <w:r>
        <w:rPr>
          <w:rFonts w:hint="eastAsia" w:ascii="宋体" w:hAnsi="宋体" w:eastAsia="宋体"/>
          <w:bCs/>
          <w:color w:val="auto"/>
          <w:sz w:val="21"/>
          <w:szCs w:val="21"/>
          <w:highlight w:val="none"/>
        </w:rPr>
        <w:t>“说明”项填写具体的偏离情况，如“无偏离”可不用填写。</w:t>
      </w:r>
    </w:p>
    <w:p>
      <w:pPr>
        <w:adjustRightInd w:val="0"/>
        <w:snapToGrid w:val="0"/>
        <w:rPr>
          <w:rFonts w:ascii="宋体" w:hAnsi="宋体"/>
          <w:color w:val="auto"/>
          <w:szCs w:val="21"/>
          <w:highlight w:val="none"/>
        </w:rPr>
      </w:pP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jc w:val="right"/>
        <w:rPr>
          <w:rFonts w:ascii="宋体" w:hAnsi="宋体"/>
          <w:color w:val="auto"/>
          <w:sz w:val="24"/>
          <w:highlight w:val="none"/>
          <w:u w:val="single"/>
        </w:rPr>
      </w:pPr>
      <w:r>
        <w:rPr>
          <w:rFonts w:hint="eastAsia" w:ascii="宋体" w:hAnsi="宋体"/>
          <w:color w:val="auto"/>
          <w:sz w:val="24"/>
          <w:highlight w:val="none"/>
        </w:rPr>
        <w:t>日期：</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hint="eastAsia" w:ascii="宋体" w:hAnsi="宋体"/>
          <w:color w:val="auto"/>
          <w:sz w:val="24"/>
          <w:highlight w:val="none"/>
        </w:rPr>
        <w:t>日</w:t>
      </w:r>
      <w:r>
        <w:rPr>
          <w:rFonts w:ascii="宋体" w:hAnsi="宋体"/>
          <w:color w:val="auto"/>
          <w:sz w:val="24"/>
          <w:highlight w:val="none"/>
          <w:u w:val="single"/>
        </w:rPr>
        <w:t xml:space="preserve"> </w:t>
      </w:r>
    </w:p>
    <w:p>
      <w:pPr>
        <w:pStyle w:val="4"/>
        <w:keepNext w:val="0"/>
        <w:keepLines w:val="0"/>
        <w:numPr>
          <w:ilvl w:val="0"/>
          <w:numId w:val="27"/>
        </w:numPr>
        <w:spacing w:before="120" w:after="120" w:line="240" w:lineRule="auto"/>
        <w:rPr>
          <w:rFonts w:ascii="宋体" w:hAnsi="宋体"/>
          <w:color w:val="auto"/>
          <w:szCs w:val="24"/>
          <w:highlight w:val="none"/>
        </w:rPr>
      </w:pPr>
      <w:bookmarkStart w:id="180" w:name="_Hlk115385920"/>
      <w:r>
        <w:rPr>
          <w:rFonts w:hint="eastAsia" w:ascii="宋体" w:hAnsi="宋体"/>
          <w:color w:val="auto"/>
          <w:szCs w:val="24"/>
          <w:highlight w:val="none"/>
        </w:rPr>
        <w:t>各类证明材料</w:t>
      </w:r>
    </w:p>
    <w:bookmarkEnd w:id="180"/>
    <w:p>
      <w:pPr>
        <w:rPr>
          <w:rFonts w:ascii="宋体" w:hAnsi="宋体" w:cs="宋体"/>
          <w:i/>
          <w:iCs/>
          <w:color w:val="auto"/>
          <w:szCs w:val="21"/>
          <w:highlight w:val="none"/>
        </w:rPr>
      </w:pPr>
      <w:r>
        <w:rPr>
          <w:rFonts w:hint="eastAsia" w:ascii="宋体" w:hAnsi="宋体" w:cs="宋体"/>
          <w:i/>
          <w:iCs/>
          <w:color w:val="auto"/>
          <w:szCs w:val="21"/>
          <w:highlight w:val="none"/>
        </w:rPr>
        <w:t>（按照磋商文件评审标准提供相关材料。）</w:t>
      </w:r>
    </w:p>
    <w:p>
      <w:pPr>
        <w:pStyle w:val="2"/>
        <w:rPr>
          <w:rFonts w:ascii="宋体" w:hAnsi="宋体"/>
          <w:color w:val="auto"/>
          <w:highlight w:val="none"/>
        </w:rPr>
      </w:pPr>
    </w:p>
    <w:p>
      <w:pPr>
        <w:pStyle w:val="2"/>
        <w:rPr>
          <w:rFonts w:ascii="宋体" w:hAnsi="宋体"/>
          <w:color w:val="auto"/>
          <w:highlight w:val="none"/>
        </w:rPr>
      </w:pPr>
    </w:p>
    <w:p>
      <w:pPr>
        <w:pStyle w:val="2"/>
        <w:rPr>
          <w:rFonts w:ascii="宋体" w:hAnsi="宋体"/>
          <w:color w:val="auto"/>
          <w:highlight w:val="none"/>
        </w:rPr>
      </w:pPr>
    </w:p>
    <w:p>
      <w:pPr>
        <w:pStyle w:val="4"/>
        <w:keepNext w:val="0"/>
        <w:keepLines w:val="0"/>
        <w:numPr>
          <w:ilvl w:val="0"/>
          <w:numId w:val="27"/>
        </w:numPr>
        <w:spacing w:before="120" w:after="120" w:line="240" w:lineRule="auto"/>
        <w:rPr>
          <w:rFonts w:ascii="宋体" w:hAnsi="宋体"/>
          <w:color w:val="auto"/>
          <w:szCs w:val="24"/>
          <w:highlight w:val="none"/>
        </w:rPr>
      </w:pPr>
      <w:bookmarkStart w:id="181" w:name="_Hlk115385977"/>
      <w:r>
        <w:rPr>
          <w:rFonts w:hint="eastAsia" w:ascii="宋体" w:hAnsi="宋体"/>
          <w:color w:val="auto"/>
          <w:szCs w:val="24"/>
          <w:highlight w:val="none"/>
        </w:rPr>
        <w:t>拟任执行管理及技术人员情况</w:t>
      </w:r>
    </w:p>
    <w:bookmarkEnd w:id="181"/>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bookmarkStart w:id="182" w:name="_Hlk115385961"/>
            <w:r>
              <w:rPr>
                <w:rFonts w:hint="eastAsia" w:ascii="宋体" w:hAnsi="宋体" w:cs="等线"/>
                <w:b/>
                <w:bCs/>
                <w:color w:val="auto"/>
                <w:szCs w:val="21"/>
                <w:highlight w:val="none"/>
              </w:rPr>
              <w:t>序号</w:t>
            </w:r>
          </w:p>
        </w:tc>
        <w:tc>
          <w:tcPr>
            <w:tcW w:w="772"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姓名</w:t>
            </w:r>
          </w:p>
        </w:tc>
        <w:tc>
          <w:tcPr>
            <w:tcW w:w="770"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职务</w:t>
            </w:r>
          </w:p>
        </w:tc>
        <w:tc>
          <w:tcPr>
            <w:tcW w:w="941"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项目经验</w:t>
            </w:r>
          </w:p>
        </w:tc>
        <w:tc>
          <w:tcPr>
            <w:tcW w:w="1198"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职称</w:t>
            </w:r>
          </w:p>
        </w:tc>
        <w:tc>
          <w:tcPr>
            <w:tcW w:w="858"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highlight w:val="none"/>
              </w:rPr>
            </w:pPr>
            <w:r>
              <w:rPr>
                <w:rFonts w:hint="eastAsia" w:ascii="宋体" w:hAnsi="宋体" w:cs="等线"/>
                <w:color w:val="auto"/>
                <w:szCs w:val="21"/>
                <w:highlight w:val="none"/>
              </w:rPr>
              <w:t>1</w:t>
            </w:r>
          </w:p>
        </w:tc>
        <w:tc>
          <w:tcPr>
            <w:tcW w:w="772" w:type="pct"/>
            <w:shd w:val="clear" w:color="auto" w:fill="FFFFFF"/>
            <w:vAlign w:val="center"/>
          </w:tcPr>
          <w:p>
            <w:pPr>
              <w:spacing w:line="240" w:lineRule="auto"/>
              <w:jc w:val="center"/>
              <w:rPr>
                <w:rFonts w:ascii="宋体" w:hAnsi="宋体" w:cs="等线"/>
                <w:color w:val="auto"/>
                <w:szCs w:val="21"/>
                <w:highlight w:val="none"/>
              </w:rPr>
            </w:pPr>
          </w:p>
        </w:tc>
        <w:tc>
          <w:tcPr>
            <w:tcW w:w="770" w:type="pct"/>
            <w:shd w:val="clear" w:color="auto" w:fill="FFFFFF"/>
            <w:vAlign w:val="center"/>
          </w:tcPr>
          <w:p>
            <w:pPr>
              <w:spacing w:line="240" w:lineRule="auto"/>
              <w:jc w:val="center"/>
              <w:rPr>
                <w:rFonts w:ascii="宋体" w:hAnsi="宋体" w:cs="等线"/>
                <w:color w:val="auto"/>
                <w:szCs w:val="21"/>
                <w:highlight w:val="none"/>
              </w:rPr>
            </w:pPr>
          </w:p>
        </w:tc>
        <w:tc>
          <w:tcPr>
            <w:tcW w:w="941" w:type="pct"/>
            <w:shd w:val="clear" w:color="auto" w:fill="FFFFFF"/>
            <w:vAlign w:val="center"/>
          </w:tcPr>
          <w:p>
            <w:pPr>
              <w:spacing w:line="240" w:lineRule="auto"/>
              <w:jc w:val="center"/>
              <w:rPr>
                <w:rFonts w:ascii="宋体" w:hAnsi="宋体" w:cs="等线"/>
                <w:color w:val="auto"/>
                <w:szCs w:val="21"/>
                <w:highlight w:val="none"/>
              </w:rPr>
            </w:pPr>
          </w:p>
        </w:tc>
        <w:tc>
          <w:tcPr>
            <w:tcW w:w="1198" w:type="pct"/>
            <w:shd w:val="clear" w:color="auto" w:fill="FFFFFF"/>
            <w:vAlign w:val="center"/>
          </w:tcPr>
          <w:p>
            <w:pPr>
              <w:spacing w:line="240" w:lineRule="auto"/>
              <w:jc w:val="center"/>
              <w:rPr>
                <w:rFonts w:ascii="宋体" w:hAnsi="宋体" w:cs="等线"/>
                <w:color w:val="auto"/>
                <w:szCs w:val="21"/>
                <w:highlight w:val="none"/>
              </w:rPr>
            </w:pPr>
          </w:p>
        </w:tc>
        <w:tc>
          <w:tcPr>
            <w:tcW w:w="858" w:type="pct"/>
            <w:shd w:val="clear" w:color="auto" w:fill="FFFFFF"/>
            <w:vAlign w:val="center"/>
          </w:tcPr>
          <w:p>
            <w:pPr>
              <w:spacing w:line="240" w:lineRule="auto"/>
              <w:jc w:val="center"/>
              <w:rPr>
                <w:rFonts w:ascii="宋体" w:hAnsi="宋体" w:cs="等线"/>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highlight w:val="none"/>
              </w:rPr>
            </w:pPr>
            <w:r>
              <w:rPr>
                <w:rFonts w:hint="eastAsia" w:ascii="宋体" w:hAnsi="宋体" w:cs="等线"/>
                <w:color w:val="auto"/>
                <w:szCs w:val="21"/>
                <w:highlight w:val="none"/>
              </w:rPr>
              <w:t>2</w:t>
            </w:r>
          </w:p>
        </w:tc>
        <w:tc>
          <w:tcPr>
            <w:tcW w:w="772" w:type="pct"/>
            <w:shd w:val="clear" w:color="auto" w:fill="FFFFFF"/>
            <w:vAlign w:val="center"/>
          </w:tcPr>
          <w:p>
            <w:pPr>
              <w:spacing w:line="240" w:lineRule="auto"/>
              <w:jc w:val="center"/>
              <w:rPr>
                <w:rFonts w:ascii="宋体" w:hAnsi="宋体" w:cs="等线"/>
                <w:color w:val="auto"/>
                <w:szCs w:val="21"/>
                <w:highlight w:val="none"/>
              </w:rPr>
            </w:pPr>
          </w:p>
        </w:tc>
        <w:tc>
          <w:tcPr>
            <w:tcW w:w="770" w:type="pct"/>
            <w:shd w:val="clear" w:color="auto" w:fill="FFFFFF"/>
            <w:vAlign w:val="center"/>
          </w:tcPr>
          <w:p>
            <w:pPr>
              <w:spacing w:line="240" w:lineRule="auto"/>
              <w:jc w:val="center"/>
              <w:rPr>
                <w:rFonts w:ascii="宋体" w:hAnsi="宋体" w:cs="等线"/>
                <w:color w:val="auto"/>
                <w:szCs w:val="21"/>
                <w:highlight w:val="none"/>
              </w:rPr>
            </w:pPr>
          </w:p>
        </w:tc>
        <w:tc>
          <w:tcPr>
            <w:tcW w:w="941" w:type="pct"/>
            <w:shd w:val="clear" w:color="auto" w:fill="FFFFFF"/>
            <w:vAlign w:val="center"/>
          </w:tcPr>
          <w:p>
            <w:pPr>
              <w:spacing w:line="240" w:lineRule="auto"/>
              <w:jc w:val="center"/>
              <w:rPr>
                <w:rFonts w:ascii="宋体" w:hAnsi="宋体" w:cs="等线"/>
                <w:color w:val="auto"/>
                <w:szCs w:val="21"/>
                <w:highlight w:val="none"/>
              </w:rPr>
            </w:pPr>
          </w:p>
        </w:tc>
        <w:tc>
          <w:tcPr>
            <w:tcW w:w="1198" w:type="pct"/>
            <w:shd w:val="clear" w:color="auto" w:fill="FFFFFF"/>
            <w:vAlign w:val="center"/>
          </w:tcPr>
          <w:p>
            <w:pPr>
              <w:spacing w:line="240" w:lineRule="auto"/>
              <w:jc w:val="center"/>
              <w:rPr>
                <w:rFonts w:ascii="宋体" w:hAnsi="宋体" w:cs="等线"/>
                <w:color w:val="auto"/>
                <w:szCs w:val="21"/>
                <w:highlight w:val="none"/>
              </w:rPr>
            </w:pPr>
          </w:p>
        </w:tc>
        <w:tc>
          <w:tcPr>
            <w:tcW w:w="858" w:type="pct"/>
            <w:shd w:val="clear" w:color="auto" w:fill="FFFFFF"/>
            <w:vAlign w:val="center"/>
          </w:tcPr>
          <w:p>
            <w:pPr>
              <w:spacing w:line="240" w:lineRule="auto"/>
              <w:jc w:val="center"/>
              <w:rPr>
                <w:rFonts w:ascii="宋体" w:hAnsi="宋体" w:cs="等线"/>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highlight w:val="none"/>
              </w:rPr>
            </w:pPr>
            <w:r>
              <w:rPr>
                <w:rFonts w:hint="eastAsia" w:ascii="宋体" w:hAnsi="宋体" w:cs="等线"/>
                <w:color w:val="auto"/>
                <w:szCs w:val="21"/>
                <w:highlight w:val="none"/>
              </w:rPr>
              <w:t>3</w:t>
            </w:r>
          </w:p>
        </w:tc>
        <w:tc>
          <w:tcPr>
            <w:tcW w:w="772" w:type="pct"/>
            <w:shd w:val="clear" w:color="auto" w:fill="FFFFFF"/>
            <w:vAlign w:val="center"/>
          </w:tcPr>
          <w:p>
            <w:pPr>
              <w:spacing w:line="240" w:lineRule="auto"/>
              <w:jc w:val="center"/>
              <w:rPr>
                <w:rFonts w:ascii="宋体" w:hAnsi="宋体" w:cs="等线"/>
                <w:color w:val="auto"/>
                <w:szCs w:val="21"/>
                <w:highlight w:val="none"/>
              </w:rPr>
            </w:pPr>
          </w:p>
        </w:tc>
        <w:tc>
          <w:tcPr>
            <w:tcW w:w="770" w:type="pct"/>
            <w:shd w:val="clear" w:color="auto" w:fill="FFFFFF"/>
            <w:vAlign w:val="center"/>
          </w:tcPr>
          <w:p>
            <w:pPr>
              <w:spacing w:line="240" w:lineRule="auto"/>
              <w:jc w:val="center"/>
              <w:rPr>
                <w:rFonts w:ascii="宋体" w:hAnsi="宋体" w:cs="等线"/>
                <w:color w:val="auto"/>
                <w:szCs w:val="21"/>
                <w:highlight w:val="none"/>
              </w:rPr>
            </w:pPr>
          </w:p>
        </w:tc>
        <w:tc>
          <w:tcPr>
            <w:tcW w:w="941" w:type="pct"/>
            <w:shd w:val="clear" w:color="auto" w:fill="FFFFFF"/>
            <w:vAlign w:val="center"/>
          </w:tcPr>
          <w:p>
            <w:pPr>
              <w:spacing w:line="240" w:lineRule="auto"/>
              <w:jc w:val="center"/>
              <w:rPr>
                <w:rFonts w:ascii="宋体" w:hAnsi="宋体" w:cs="等线"/>
                <w:color w:val="auto"/>
                <w:szCs w:val="21"/>
                <w:highlight w:val="none"/>
              </w:rPr>
            </w:pPr>
          </w:p>
        </w:tc>
        <w:tc>
          <w:tcPr>
            <w:tcW w:w="1198" w:type="pct"/>
            <w:shd w:val="clear" w:color="auto" w:fill="FFFFFF"/>
            <w:vAlign w:val="center"/>
          </w:tcPr>
          <w:p>
            <w:pPr>
              <w:spacing w:line="240" w:lineRule="auto"/>
              <w:jc w:val="center"/>
              <w:rPr>
                <w:rFonts w:ascii="宋体" w:hAnsi="宋体" w:cs="等线"/>
                <w:color w:val="auto"/>
                <w:szCs w:val="21"/>
                <w:highlight w:val="none"/>
              </w:rPr>
            </w:pPr>
          </w:p>
        </w:tc>
        <w:tc>
          <w:tcPr>
            <w:tcW w:w="858" w:type="pct"/>
            <w:shd w:val="clear" w:color="auto" w:fill="FFFFFF"/>
            <w:vAlign w:val="center"/>
          </w:tcPr>
          <w:p>
            <w:pPr>
              <w:spacing w:line="240" w:lineRule="auto"/>
              <w:jc w:val="center"/>
              <w:rPr>
                <w:rFonts w:ascii="宋体" w:hAnsi="宋体" w:cs="等线"/>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highlight w:val="none"/>
              </w:rPr>
            </w:pPr>
            <w:r>
              <w:rPr>
                <w:rFonts w:hint="eastAsia" w:ascii="宋体" w:hAnsi="宋体" w:cs="等线"/>
                <w:color w:val="auto"/>
                <w:szCs w:val="21"/>
                <w:highlight w:val="none"/>
              </w:rPr>
              <w:t>…</w:t>
            </w:r>
          </w:p>
        </w:tc>
        <w:tc>
          <w:tcPr>
            <w:tcW w:w="772" w:type="pct"/>
            <w:shd w:val="clear" w:color="auto" w:fill="FFFFFF"/>
            <w:vAlign w:val="center"/>
          </w:tcPr>
          <w:p>
            <w:pPr>
              <w:spacing w:line="240" w:lineRule="auto"/>
              <w:jc w:val="center"/>
              <w:rPr>
                <w:rFonts w:ascii="宋体" w:hAnsi="宋体" w:cs="等线"/>
                <w:color w:val="auto"/>
                <w:szCs w:val="21"/>
                <w:highlight w:val="none"/>
              </w:rPr>
            </w:pPr>
          </w:p>
        </w:tc>
        <w:tc>
          <w:tcPr>
            <w:tcW w:w="770" w:type="pct"/>
            <w:shd w:val="clear" w:color="auto" w:fill="FFFFFF"/>
            <w:vAlign w:val="center"/>
          </w:tcPr>
          <w:p>
            <w:pPr>
              <w:spacing w:line="240" w:lineRule="auto"/>
              <w:jc w:val="center"/>
              <w:rPr>
                <w:rFonts w:ascii="宋体" w:hAnsi="宋体" w:cs="等线"/>
                <w:color w:val="auto"/>
                <w:szCs w:val="21"/>
                <w:highlight w:val="none"/>
              </w:rPr>
            </w:pPr>
          </w:p>
        </w:tc>
        <w:tc>
          <w:tcPr>
            <w:tcW w:w="941" w:type="pct"/>
            <w:shd w:val="clear" w:color="auto" w:fill="FFFFFF"/>
            <w:vAlign w:val="center"/>
          </w:tcPr>
          <w:p>
            <w:pPr>
              <w:spacing w:line="240" w:lineRule="auto"/>
              <w:jc w:val="center"/>
              <w:rPr>
                <w:rFonts w:ascii="宋体" w:hAnsi="宋体" w:cs="等线"/>
                <w:color w:val="auto"/>
                <w:szCs w:val="21"/>
                <w:highlight w:val="none"/>
              </w:rPr>
            </w:pPr>
          </w:p>
        </w:tc>
        <w:tc>
          <w:tcPr>
            <w:tcW w:w="1198" w:type="pct"/>
            <w:shd w:val="clear" w:color="auto" w:fill="FFFFFF"/>
            <w:vAlign w:val="center"/>
          </w:tcPr>
          <w:p>
            <w:pPr>
              <w:spacing w:line="240" w:lineRule="auto"/>
              <w:jc w:val="center"/>
              <w:rPr>
                <w:rFonts w:ascii="宋体" w:hAnsi="宋体" w:cs="等线"/>
                <w:color w:val="auto"/>
                <w:szCs w:val="21"/>
                <w:highlight w:val="none"/>
              </w:rPr>
            </w:pPr>
          </w:p>
        </w:tc>
        <w:tc>
          <w:tcPr>
            <w:tcW w:w="858" w:type="pct"/>
            <w:shd w:val="clear" w:color="auto" w:fill="FFFFFF"/>
            <w:vAlign w:val="center"/>
          </w:tcPr>
          <w:p>
            <w:pPr>
              <w:spacing w:line="240" w:lineRule="auto"/>
              <w:jc w:val="center"/>
              <w:rPr>
                <w:rFonts w:ascii="宋体" w:hAnsi="宋体" w:cs="等线"/>
                <w:color w:val="auto"/>
                <w:szCs w:val="21"/>
                <w:highlight w:val="none"/>
              </w:rPr>
            </w:pPr>
          </w:p>
        </w:tc>
      </w:tr>
    </w:tbl>
    <w:p>
      <w:pPr>
        <w:rPr>
          <w:rFonts w:ascii="宋体" w:hAnsi="宋体"/>
          <w:color w:val="auto"/>
          <w:highlight w:val="none"/>
        </w:rPr>
      </w:pPr>
      <w:r>
        <w:rPr>
          <w:rFonts w:hint="eastAsia" w:ascii="宋体" w:hAnsi="宋体"/>
          <w:color w:val="auto"/>
          <w:highlight w:val="none"/>
        </w:rPr>
        <w:t>说明：根据评审标准要求提供相关证明材料。</w:t>
      </w:r>
    </w:p>
    <w:bookmarkEnd w:id="182"/>
    <w:p>
      <w:pPr>
        <w:rPr>
          <w:color w:val="auto"/>
          <w:highlight w:val="none"/>
        </w:rPr>
      </w:pPr>
    </w:p>
    <w:bookmarkEnd w:id="163"/>
    <w:p>
      <w:pPr>
        <w:pStyle w:val="4"/>
        <w:keepNext w:val="0"/>
        <w:keepLines w:val="0"/>
        <w:numPr>
          <w:ilvl w:val="0"/>
          <w:numId w:val="27"/>
        </w:numPr>
        <w:spacing w:before="120" w:after="120" w:line="240" w:lineRule="auto"/>
        <w:rPr>
          <w:rFonts w:ascii="宋体" w:hAnsi="宋体"/>
          <w:color w:val="auto"/>
          <w:szCs w:val="24"/>
          <w:highlight w:val="none"/>
        </w:rPr>
      </w:pPr>
      <w:bookmarkStart w:id="183" w:name="_Toc103033251"/>
      <w:bookmarkStart w:id="184" w:name="_Toc104040720"/>
      <w:bookmarkStart w:id="185" w:name="_Toc462677246"/>
      <w:bookmarkStart w:id="186" w:name="_Toc425161124"/>
      <w:bookmarkStart w:id="187" w:name="_Toc202820353"/>
      <w:bookmarkStart w:id="188" w:name="_Toc202254107"/>
      <w:bookmarkStart w:id="189" w:name="_Toc202251702"/>
      <w:bookmarkStart w:id="190" w:name="_Toc202819880"/>
      <w:bookmarkStart w:id="191" w:name="_Toc202251077"/>
      <w:bookmarkStart w:id="192" w:name="_Toc202252036"/>
      <w:bookmarkStart w:id="193" w:name="_Toc202816998"/>
      <w:bookmarkStart w:id="194" w:name="_Toc259090991"/>
      <w:r>
        <w:rPr>
          <w:rFonts w:hint="eastAsia" w:ascii="宋体" w:hAnsi="宋体"/>
          <w:color w:val="auto"/>
          <w:szCs w:val="24"/>
          <w:highlight w:val="none"/>
        </w:rPr>
        <w:t>类似</w:t>
      </w:r>
      <w:r>
        <w:rPr>
          <w:rFonts w:ascii="宋体" w:hAnsi="宋体"/>
          <w:color w:val="auto"/>
          <w:szCs w:val="24"/>
          <w:highlight w:val="none"/>
        </w:rPr>
        <w:t>项目</w:t>
      </w:r>
      <w:r>
        <w:rPr>
          <w:rFonts w:hint="eastAsia" w:ascii="宋体" w:hAnsi="宋体"/>
          <w:color w:val="auto"/>
          <w:szCs w:val="24"/>
          <w:highlight w:val="none"/>
        </w:rPr>
        <w:t>业绩</w:t>
      </w:r>
      <w:bookmarkEnd w:id="183"/>
      <w:bookmarkEnd w:id="184"/>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序号</w:t>
            </w:r>
          </w:p>
        </w:tc>
        <w:tc>
          <w:tcPr>
            <w:tcW w:w="772"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客户名称</w:t>
            </w:r>
          </w:p>
        </w:tc>
        <w:tc>
          <w:tcPr>
            <w:tcW w:w="770"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合同名称</w:t>
            </w:r>
          </w:p>
        </w:tc>
        <w:tc>
          <w:tcPr>
            <w:tcW w:w="941"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合同内容</w:t>
            </w:r>
          </w:p>
        </w:tc>
        <w:tc>
          <w:tcPr>
            <w:tcW w:w="1198"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合同签订时间</w:t>
            </w:r>
          </w:p>
        </w:tc>
        <w:tc>
          <w:tcPr>
            <w:tcW w:w="858"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highlight w:val="none"/>
              </w:rPr>
            </w:pPr>
            <w:r>
              <w:rPr>
                <w:rFonts w:hint="eastAsia" w:ascii="宋体" w:hAnsi="宋体" w:cs="等线"/>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highlight w:val="none"/>
              </w:rPr>
            </w:pPr>
            <w:r>
              <w:rPr>
                <w:rFonts w:hint="eastAsia" w:ascii="宋体" w:hAnsi="宋体" w:cs="等线"/>
                <w:color w:val="auto"/>
                <w:szCs w:val="21"/>
                <w:highlight w:val="none"/>
              </w:rPr>
              <w:t>1</w:t>
            </w:r>
          </w:p>
        </w:tc>
        <w:tc>
          <w:tcPr>
            <w:tcW w:w="772" w:type="pct"/>
            <w:shd w:val="clear" w:color="auto" w:fill="FFFFFF"/>
            <w:vAlign w:val="center"/>
          </w:tcPr>
          <w:p>
            <w:pPr>
              <w:spacing w:line="240" w:lineRule="auto"/>
              <w:jc w:val="center"/>
              <w:rPr>
                <w:rFonts w:ascii="宋体" w:hAnsi="宋体" w:cs="等线"/>
                <w:color w:val="auto"/>
                <w:szCs w:val="21"/>
                <w:highlight w:val="none"/>
              </w:rPr>
            </w:pPr>
          </w:p>
        </w:tc>
        <w:tc>
          <w:tcPr>
            <w:tcW w:w="770" w:type="pct"/>
            <w:shd w:val="clear" w:color="auto" w:fill="FFFFFF"/>
            <w:vAlign w:val="center"/>
          </w:tcPr>
          <w:p>
            <w:pPr>
              <w:spacing w:line="240" w:lineRule="auto"/>
              <w:jc w:val="center"/>
              <w:rPr>
                <w:rFonts w:ascii="宋体" w:hAnsi="宋体" w:cs="等线"/>
                <w:color w:val="auto"/>
                <w:szCs w:val="21"/>
                <w:highlight w:val="none"/>
              </w:rPr>
            </w:pPr>
          </w:p>
        </w:tc>
        <w:tc>
          <w:tcPr>
            <w:tcW w:w="941" w:type="pct"/>
            <w:shd w:val="clear" w:color="auto" w:fill="FFFFFF"/>
            <w:vAlign w:val="center"/>
          </w:tcPr>
          <w:p>
            <w:pPr>
              <w:spacing w:line="240" w:lineRule="auto"/>
              <w:jc w:val="center"/>
              <w:rPr>
                <w:rFonts w:ascii="宋体" w:hAnsi="宋体" w:cs="等线"/>
                <w:color w:val="auto"/>
                <w:szCs w:val="21"/>
                <w:highlight w:val="none"/>
              </w:rPr>
            </w:pPr>
          </w:p>
        </w:tc>
        <w:tc>
          <w:tcPr>
            <w:tcW w:w="1198" w:type="pct"/>
            <w:shd w:val="clear" w:color="auto" w:fill="FFFFFF"/>
            <w:vAlign w:val="center"/>
          </w:tcPr>
          <w:p>
            <w:pPr>
              <w:spacing w:line="240" w:lineRule="auto"/>
              <w:jc w:val="center"/>
              <w:rPr>
                <w:rFonts w:ascii="宋体" w:hAnsi="宋体" w:cs="等线"/>
                <w:color w:val="auto"/>
                <w:szCs w:val="21"/>
                <w:highlight w:val="none"/>
              </w:rPr>
            </w:pPr>
          </w:p>
        </w:tc>
        <w:tc>
          <w:tcPr>
            <w:tcW w:w="858" w:type="pct"/>
            <w:shd w:val="clear" w:color="auto" w:fill="FFFFFF"/>
            <w:vAlign w:val="center"/>
          </w:tcPr>
          <w:p>
            <w:pPr>
              <w:spacing w:line="240" w:lineRule="auto"/>
              <w:jc w:val="center"/>
              <w:rPr>
                <w:rFonts w:ascii="宋体" w:hAnsi="宋体" w:cs="等线"/>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highlight w:val="none"/>
              </w:rPr>
            </w:pPr>
            <w:r>
              <w:rPr>
                <w:rFonts w:hint="eastAsia" w:ascii="宋体" w:hAnsi="宋体" w:cs="等线"/>
                <w:color w:val="auto"/>
                <w:szCs w:val="21"/>
                <w:highlight w:val="none"/>
              </w:rPr>
              <w:t>2</w:t>
            </w:r>
          </w:p>
        </w:tc>
        <w:tc>
          <w:tcPr>
            <w:tcW w:w="772" w:type="pct"/>
            <w:shd w:val="clear" w:color="auto" w:fill="FFFFFF"/>
            <w:vAlign w:val="center"/>
          </w:tcPr>
          <w:p>
            <w:pPr>
              <w:spacing w:line="240" w:lineRule="auto"/>
              <w:jc w:val="center"/>
              <w:rPr>
                <w:rFonts w:ascii="宋体" w:hAnsi="宋体" w:cs="等线"/>
                <w:color w:val="auto"/>
                <w:szCs w:val="21"/>
                <w:highlight w:val="none"/>
              </w:rPr>
            </w:pPr>
          </w:p>
        </w:tc>
        <w:tc>
          <w:tcPr>
            <w:tcW w:w="770" w:type="pct"/>
            <w:shd w:val="clear" w:color="auto" w:fill="FFFFFF"/>
            <w:vAlign w:val="center"/>
          </w:tcPr>
          <w:p>
            <w:pPr>
              <w:spacing w:line="240" w:lineRule="auto"/>
              <w:jc w:val="center"/>
              <w:rPr>
                <w:rFonts w:ascii="宋体" w:hAnsi="宋体" w:cs="等线"/>
                <w:color w:val="auto"/>
                <w:szCs w:val="21"/>
                <w:highlight w:val="none"/>
              </w:rPr>
            </w:pPr>
          </w:p>
        </w:tc>
        <w:tc>
          <w:tcPr>
            <w:tcW w:w="941" w:type="pct"/>
            <w:shd w:val="clear" w:color="auto" w:fill="FFFFFF"/>
            <w:vAlign w:val="center"/>
          </w:tcPr>
          <w:p>
            <w:pPr>
              <w:spacing w:line="240" w:lineRule="auto"/>
              <w:jc w:val="center"/>
              <w:rPr>
                <w:rFonts w:ascii="宋体" w:hAnsi="宋体" w:cs="等线"/>
                <w:color w:val="auto"/>
                <w:szCs w:val="21"/>
                <w:highlight w:val="none"/>
              </w:rPr>
            </w:pPr>
          </w:p>
        </w:tc>
        <w:tc>
          <w:tcPr>
            <w:tcW w:w="1198" w:type="pct"/>
            <w:shd w:val="clear" w:color="auto" w:fill="FFFFFF"/>
            <w:vAlign w:val="center"/>
          </w:tcPr>
          <w:p>
            <w:pPr>
              <w:spacing w:line="240" w:lineRule="auto"/>
              <w:jc w:val="center"/>
              <w:rPr>
                <w:rFonts w:ascii="宋体" w:hAnsi="宋体" w:cs="等线"/>
                <w:color w:val="auto"/>
                <w:szCs w:val="21"/>
                <w:highlight w:val="none"/>
              </w:rPr>
            </w:pPr>
          </w:p>
        </w:tc>
        <w:tc>
          <w:tcPr>
            <w:tcW w:w="858" w:type="pct"/>
            <w:shd w:val="clear" w:color="auto" w:fill="FFFFFF"/>
            <w:vAlign w:val="center"/>
          </w:tcPr>
          <w:p>
            <w:pPr>
              <w:spacing w:line="240" w:lineRule="auto"/>
              <w:jc w:val="center"/>
              <w:rPr>
                <w:rFonts w:ascii="宋体" w:hAnsi="宋体" w:cs="等线"/>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highlight w:val="none"/>
              </w:rPr>
            </w:pPr>
            <w:r>
              <w:rPr>
                <w:rFonts w:hint="eastAsia" w:ascii="宋体" w:hAnsi="宋体" w:cs="等线"/>
                <w:color w:val="auto"/>
                <w:szCs w:val="21"/>
                <w:highlight w:val="none"/>
              </w:rPr>
              <w:t>3</w:t>
            </w:r>
          </w:p>
        </w:tc>
        <w:tc>
          <w:tcPr>
            <w:tcW w:w="772" w:type="pct"/>
            <w:shd w:val="clear" w:color="auto" w:fill="FFFFFF"/>
            <w:vAlign w:val="center"/>
          </w:tcPr>
          <w:p>
            <w:pPr>
              <w:spacing w:line="240" w:lineRule="auto"/>
              <w:jc w:val="center"/>
              <w:rPr>
                <w:rFonts w:ascii="宋体" w:hAnsi="宋体" w:cs="等线"/>
                <w:color w:val="auto"/>
                <w:szCs w:val="21"/>
                <w:highlight w:val="none"/>
              </w:rPr>
            </w:pPr>
          </w:p>
        </w:tc>
        <w:tc>
          <w:tcPr>
            <w:tcW w:w="770" w:type="pct"/>
            <w:shd w:val="clear" w:color="auto" w:fill="FFFFFF"/>
            <w:vAlign w:val="center"/>
          </w:tcPr>
          <w:p>
            <w:pPr>
              <w:spacing w:line="240" w:lineRule="auto"/>
              <w:jc w:val="center"/>
              <w:rPr>
                <w:rFonts w:ascii="宋体" w:hAnsi="宋体" w:cs="等线"/>
                <w:color w:val="auto"/>
                <w:szCs w:val="21"/>
                <w:highlight w:val="none"/>
              </w:rPr>
            </w:pPr>
          </w:p>
        </w:tc>
        <w:tc>
          <w:tcPr>
            <w:tcW w:w="941" w:type="pct"/>
            <w:shd w:val="clear" w:color="auto" w:fill="FFFFFF"/>
            <w:vAlign w:val="center"/>
          </w:tcPr>
          <w:p>
            <w:pPr>
              <w:spacing w:line="240" w:lineRule="auto"/>
              <w:jc w:val="center"/>
              <w:rPr>
                <w:rFonts w:ascii="宋体" w:hAnsi="宋体" w:cs="等线"/>
                <w:color w:val="auto"/>
                <w:szCs w:val="21"/>
                <w:highlight w:val="none"/>
              </w:rPr>
            </w:pPr>
          </w:p>
        </w:tc>
        <w:tc>
          <w:tcPr>
            <w:tcW w:w="1198" w:type="pct"/>
            <w:shd w:val="clear" w:color="auto" w:fill="FFFFFF"/>
            <w:vAlign w:val="center"/>
          </w:tcPr>
          <w:p>
            <w:pPr>
              <w:spacing w:line="240" w:lineRule="auto"/>
              <w:jc w:val="center"/>
              <w:rPr>
                <w:rFonts w:ascii="宋体" w:hAnsi="宋体" w:cs="等线"/>
                <w:color w:val="auto"/>
                <w:szCs w:val="21"/>
                <w:highlight w:val="none"/>
              </w:rPr>
            </w:pPr>
          </w:p>
        </w:tc>
        <w:tc>
          <w:tcPr>
            <w:tcW w:w="858" w:type="pct"/>
            <w:shd w:val="clear" w:color="auto" w:fill="FFFFFF"/>
            <w:vAlign w:val="center"/>
          </w:tcPr>
          <w:p>
            <w:pPr>
              <w:spacing w:line="240" w:lineRule="auto"/>
              <w:jc w:val="center"/>
              <w:rPr>
                <w:rFonts w:ascii="宋体" w:hAnsi="宋体" w:cs="等线"/>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highlight w:val="none"/>
              </w:rPr>
            </w:pPr>
            <w:r>
              <w:rPr>
                <w:rFonts w:hint="eastAsia" w:ascii="宋体" w:hAnsi="宋体" w:cs="等线"/>
                <w:color w:val="auto"/>
                <w:szCs w:val="21"/>
                <w:highlight w:val="none"/>
              </w:rPr>
              <w:t>…</w:t>
            </w:r>
          </w:p>
        </w:tc>
        <w:tc>
          <w:tcPr>
            <w:tcW w:w="772" w:type="pct"/>
            <w:shd w:val="clear" w:color="auto" w:fill="FFFFFF"/>
            <w:vAlign w:val="center"/>
          </w:tcPr>
          <w:p>
            <w:pPr>
              <w:spacing w:line="240" w:lineRule="auto"/>
              <w:jc w:val="center"/>
              <w:rPr>
                <w:rFonts w:ascii="宋体" w:hAnsi="宋体" w:cs="等线"/>
                <w:color w:val="auto"/>
                <w:szCs w:val="21"/>
                <w:highlight w:val="none"/>
              </w:rPr>
            </w:pPr>
          </w:p>
        </w:tc>
        <w:tc>
          <w:tcPr>
            <w:tcW w:w="770" w:type="pct"/>
            <w:shd w:val="clear" w:color="auto" w:fill="FFFFFF"/>
            <w:vAlign w:val="center"/>
          </w:tcPr>
          <w:p>
            <w:pPr>
              <w:spacing w:line="240" w:lineRule="auto"/>
              <w:jc w:val="center"/>
              <w:rPr>
                <w:rFonts w:ascii="宋体" w:hAnsi="宋体" w:cs="等线"/>
                <w:color w:val="auto"/>
                <w:szCs w:val="21"/>
                <w:highlight w:val="none"/>
              </w:rPr>
            </w:pPr>
          </w:p>
        </w:tc>
        <w:tc>
          <w:tcPr>
            <w:tcW w:w="941" w:type="pct"/>
            <w:shd w:val="clear" w:color="auto" w:fill="FFFFFF"/>
            <w:vAlign w:val="center"/>
          </w:tcPr>
          <w:p>
            <w:pPr>
              <w:spacing w:line="240" w:lineRule="auto"/>
              <w:jc w:val="center"/>
              <w:rPr>
                <w:rFonts w:ascii="宋体" w:hAnsi="宋体" w:cs="等线"/>
                <w:color w:val="auto"/>
                <w:szCs w:val="21"/>
                <w:highlight w:val="none"/>
              </w:rPr>
            </w:pPr>
          </w:p>
        </w:tc>
        <w:tc>
          <w:tcPr>
            <w:tcW w:w="1198" w:type="pct"/>
            <w:shd w:val="clear" w:color="auto" w:fill="FFFFFF"/>
            <w:vAlign w:val="center"/>
          </w:tcPr>
          <w:p>
            <w:pPr>
              <w:spacing w:line="240" w:lineRule="auto"/>
              <w:jc w:val="center"/>
              <w:rPr>
                <w:rFonts w:ascii="宋体" w:hAnsi="宋体" w:cs="等线"/>
                <w:color w:val="auto"/>
                <w:szCs w:val="21"/>
                <w:highlight w:val="none"/>
              </w:rPr>
            </w:pPr>
          </w:p>
        </w:tc>
        <w:tc>
          <w:tcPr>
            <w:tcW w:w="858" w:type="pct"/>
            <w:shd w:val="clear" w:color="auto" w:fill="FFFFFF"/>
            <w:vAlign w:val="center"/>
          </w:tcPr>
          <w:p>
            <w:pPr>
              <w:spacing w:line="240" w:lineRule="auto"/>
              <w:jc w:val="center"/>
              <w:rPr>
                <w:rFonts w:ascii="宋体" w:hAnsi="宋体" w:cs="等线"/>
                <w:color w:val="auto"/>
                <w:szCs w:val="21"/>
                <w:highlight w:val="none"/>
              </w:rPr>
            </w:pPr>
          </w:p>
        </w:tc>
      </w:tr>
    </w:tbl>
    <w:p>
      <w:pPr>
        <w:rPr>
          <w:rFonts w:ascii="宋体" w:hAnsi="宋体"/>
          <w:color w:val="auto"/>
          <w:highlight w:val="none"/>
        </w:rPr>
      </w:pPr>
      <w:r>
        <w:rPr>
          <w:rFonts w:hint="eastAsia" w:ascii="宋体" w:hAnsi="宋体"/>
          <w:color w:val="auto"/>
          <w:highlight w:val="none"/>
        </w:rPr>
        <w:t>说明：根据评审标准要求提供相关证明材料。</w:t>
      </w:r>
    </w:p>
    <w:p>
      <w:pPr>
        <w:jc w:val="left"/>
        <w:rPr>
          <w:rFonts w:ascii="宋体" w:hAnsi="宋体"/>
          <w:color w:val="auto"/>
          <w:sz w:val="24"/>
          <w:highlight w:val="none"/>
        </w:rPr>
      </w:pPr>
    </w:p>
    <w:p>
      <w:pPr>
        <w:pStyle w:val="2"/>
        <w:rPr>
          <w:rFonts w:ascii="宋体" w:hAnsi="宋体"/>
          <w:color w:val="auto"/>
          <w:highlight w:val="none"/>
        </w:rPr>
      </w:pPr>
    </w:p>
    <w:bookmarkEnd w:id="98"/>
    <w:bookmarkEnd w:id="99"/>
    <w:bookmarkEnd w:id="112"/>
    <w:bookmarkEnd w:id="113"/>
    <w:bookmarkEnd w:id="114"/>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85"/>
    <w:bookmarkEnd w:id="186"/>
    <w:bookmarkEnd w:id="187"/>
    <w:bookmarkEnd w:id="188"/>
    <w:bookmarkEnd w:id="189"/>
    <w:bookmarkEnd w:id="190"/>
    <w:bookmarkEnd w:id="191"/>
    <w:bookmarkEnd w:id="192"/>
    <w:bookmarkEnd w:id="193"/>
    <w:bookmarkEnd w:id="194"/>
    <w:p>
      <w:pPr>
        <w:pStyle w:val="4"/>
        <w:keepNext w:val="0"/>
        <w:keepLines w:val="0"/>
        <w:numPr>
          <w:ilvl w:val="0"/>
          <w:numId w:val="27"/>
        </w:numPr>
        <w:spacing w:before="120" w:after="120" w:line="240" w:lineRule="auto"/>
        <w:rPr>
          <w:rFonts w:ascii="宋体" w:hAnsi="宋体"/>
          <w:color w:val="auto"/>
          <w:szCs w:val="24"/>
          <w:highlight w:val="none"/>
        </w:rPr>
      </w:pPr>
      <w:bookmarkStart w:id="195" w:name="_Toc103033254"/>
      <w:bookmarkStart w:id="196" w:name="_Toc104040721"/>
      <w:bookmarkStart w:id="197" w:name="_Toc36625609"/>
      <w:bookmarkStart w:id="198" w:name="_Toc76397766"/>
      <w:bookmarkStart w:id="199" w:name="_Toc70528472"/>
      <w:bookmarkStart w:id="200" w:name="_Toc67046919"/>
      <w:bookmarkStart w:id="201" w:name="_Toc68789544"/>
      <w:r>
        <w:rPr>
          <w:rFonts w:hint="eastAsia" w:ascii="宋体" w:hAnsi="宋体"/>
          <w:color w:val="auto"/>
          <w:szCs w:val="24"/>
          <w:highlight w:val="none"/>
        </w:rPr>
        <w:t>其它重要事项说明及承诺</w:t>
      </w:r>
      <w:bookmarkEnd w:id="195"/>
      <w:bookmarkEnd w:id="196"/>
    </w:p>
    <w:p>
      <w:pPr>
        <w:rPr>
          <w:rFonts w:ascii="宋体" w:hAnsi="宋体"/>
          <w:color w:val="auto"/>
          <w:highlight w:val="none"/>
        </w:rPr>
      </w:pPr>
      <w:r>
        <w:rPr>
          <w:rFonts w:hint="eastAsia" w:ascii="宋体" w:hAnsi="宋体" w:cs="宋体"/>
          <w:i/>
          <w:iCs/>
          <w:color w:val="auto"/>
          <w:szCs w:val="21"/>
          <w:highlight w:val="none"/>
        </w:rPr>
        <w:t>(如有，请扼要叙述，格式自拟）</w:t>
      </w:r>
    </w:p>
    <w:p>
      <w:pPr>
        <w:jc w:val="left"/>
        <w:rPr>
          <w:rFonts w:ascii="宋体" w:hAnsi="宋体"/>
          <w:b/>
          <w:bCs/>
          <w:color w:val="auto"/>
          <w:sz w:val="24"/>
          <w:highlight w:val="none"/>
        </w:rPr>
      </w:pPr>
      <w:r>
        <w:rPr>
          <w:rFonts w:ascii="宋体" w:hAnsi="宋体"/>
          <w:color w:val="auto"/>
          <w:sz w:val="24"/>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202" w:name="_Toc104040722"/>
      <w:bookmarkStart w:id="203" w:name="_Toc103033255"/>
      <w:r>
        <w:rPr>
          <w:rFonts w:hint="eastAsia" w:ascii="宋体" w:hAnsi="宋体"/>
          <w:color w:val="auto"/>
          <w:szCs w:val="24"/>
          <w:highlight w:val="none"/>
        </w:rPr>
        <w:t>采购代理服务费</w:t>
      </w:r>
      <w:bookmarkEnd w:id="197"/>
      <w:bookmarkEnd w:id="198"/>
      <w:bookmarkEnd w:id="199"/>
      <w:bookmarkEnd w:id="200"/>
      <w:bookmarkEnd w:id="201"/>
      <w:bookmarkEnd w:id="202"/>
      <w:bookmarkEnd w:id="203"/>
      <w:r>
        <w:rPr>
          <w:rFonts w:hint="eastAsia" w:ascii="宋体" w:hAnsi="宋体"/>
          <w:color w:val="auto"/>
          <w:szCs w:val="24"/>
          <w:highlight w:val="none"/>
        </w:rPr>
        <w:t>支付承诺书</w:t>
      </w:r>
    </w:p>
    <w:p>
      <w:pPr>
        <w:jc w:val="center"/>
        <w:rPr>
          <w:rFonts w:ascii="宋体" w:hAnsi="宋体"/>
          <w:b/>
          <w:bCs/>
          <w:color w:val="auto"/>
          <w:sz w:val="28"/>
          <w:szCs w:val="28"/>
          <w:highlight w:val="none"/>
        </w:rPr>
      </w:pPr>
      <w:r>
        <w:rPr>
          <w:rFonts w:hint="eastAsia" w:ascii="宋体" w:hAnsi="宋体"/>
          <w:b/>
          <w:bCs/>
          <w:color w:val="auto"/>
          <w:sz w:val="28"/>
          <w:szCs w:val="28"/>
          <w:highlight w:val="none"/>
        </w:rPr>
        <w:t>采购代理服务费支付承诺书</w:t>
      </w:r>
    </w:p>
    <w:p>
      <w:pPr>
        <w:rPr>
          <w:rFonts w:ascii="宋体" w:hAnsi="宋体"/>
          <w:color w:val="auto"/>
          <w:sz w:val="24"/>
          <w:highlight w:val="none"/>
        </w:rPr>
      </w:pPr>
      <w:r>
        <w:rPr>
          <w:rFonts w:hint="eastAsia" w:ascii="宋体" w:hAnsi="宋体"/>
          <w:color w:val="auto"/>
          <w:sz w:val="24"/>
          <w:highlight w:val="none"/>
        </w:rPr>
        <w:t>致：广东达禾工程管理有限公司</w:t>
      </w:r>
    </w:p>
    <w:p>
      <w:pPr>
        <w:pStyle w:val="45"/>
        <w:spacing w:after="0" w:line="360" w:lineRule="auto"/>
        <w:ind w:left="0" w:leftChars="0" w:firstLine="480"/>
        <w:rPr>
          <w:rFonts w:ascii="宋体" w:hAnsi="宋体"/>
          <w:color w:val="auto"/>
          <w:sz w:val="24"/>
          <w:highlight w:val="none"/>
        </w:rPr>
      </w:pPr>
      <w:r>
        <w:rPr>
          <w:rFonts w:hint="eastAsia" w:ascii="宋体" w:hAnsi="宋体"/>
          <w:color w:val="auto"/>
          <w:sz w:val="24"/>
          <w:highlight w:val="none"/>
        </w:rPr>
        <w:t>我方</w:t>
      </w:r>
      <w:r>
        <w:rPr>
          <w:rFonts w:ascii="宋体" w:hAnsi="宋体"/>
          <w:color w:val="auto"/>
          <w:sz w:val="24"/>
          <w:highlight w:val="none"/>
        </w:rPr>
        <w:t>作为投标</w:t>
      </w:r>
      <w:r>
        <w:rPr>
          <w:rFonts w:hint="eastAsia" w:ascii="宋体" w:hAnsi="宋体"/>
          <w:color w:val="auto"/>
          <w:sz w:val="24"/>
          <w:highlight w:val="none"/>
        </w:rPr>
        <w:t>（响应）供应商参加贵公司</w:t>
      </w:r>
      <w:r>
        <w:rPr>
          <w:rFonts w:ascii="宋体" w:hAnsi="宋体"/>
          <w:color w:val="auto"/>
          <w:sz w:val="24"/>
          <w:highlight w:val="none"/>
        </w:rPr>
        <w:t>（广东达禾工程管理有限公司）</w:t>
      </w:r>
      <w:r>
        <w:rPr>
          <w:rFonts w:hint="eastAsia" w:ascii="宋体" w:hAnsi="宋体"/>
          <w:color w:val="auto"/>
          <w:sz w:val="24"/>
          <w:highlight w:val="none"/>
        </w:rPr>
        <w:t>组织的</w:t>
      </w:r>
      <w:r>
        <w:rPr>
          <w:rFonts w:ascii="宋体" w:hAnsi="宋体"/>
          <w:color w:val="auto"/>
          <w:sz w:val="24"/>
          <w:highlight w:val="none"/>
          <w:u w:val="single"/>
        </w:rPr>
        <w:t xml:space="preserve">       </w:t>
      </w:r>
      <w:r>
        <w:rPr>
          <w:rFonts w:hint="eastAsia" w:ascii="宋体" w:hAnsi="宋体"/>
          <w:color w:val="auto"/>
          <w:sz w:val="24"/>
          <w:highlight w:val="none"/>
          <w:u w:val="single"/>
        </w:rPr>
        <w:t>（项目名称）</w:t>
      </w:r>
      <w:r>
        <w:rPr>
          <w:rFonts w:ascii="宋体" w:hAnsi="宋体"/>
          <w:color w:val="auto"/>
          <w:sz w:val="24"/>
          <w:highlight w:val="none"/>
        </w:rPr>
        <w:t>（项目编号：</w:t>
      </w:r>
      <w:r>
        <w:rPr>
          <w:rFonts w:ascii="宋体" w:hAnsi="宋体"/>
          <w:color w:val="auto"/>
          <w:sz w:val="24"/>
          <w:highlight w:val="none"/>
          <w:u w:val="single"/>
        </w:rPr>
        <w:t xml:space="preserve">      </w:t>
      </w:r>
      <w:r>
        <w:rPr>
          <w:rFonts w:ascii="宋体" w:hAnsi="宋体"/>
          <w:color w:val="auto"/>
          <w:sz w:val="24"/>
          <w:highlight w:val="none"/>
        </w:rPr>
        <w:t>）</w:t>
      </w:r>
      <w:r>
        <w:rPr>
          <w:rFonts w:hint="eastAsia" w:ascii="宋体" w:hAnsi="宋体"/>
          <w:color w:val="auto"/>
          <w:sz w:val="24"/>
          <w:highlight w:val="none"/>
        </w:rPr>
        <w:t>采购活动</w:t>
      </w:r>
      <w:r>
        <w:rPr>
          <w:rFonts w:ascii="宋体" w:hAnsi="宋体"/>
          <w:color w:val="auto"/>
          <w:sz w:val="24"/>
          <w:highlight w:val="none"/>
        </w:rPr>
        <w:t>，若在本项目</w:t>
      </w:r>
      <w:r>
        <w:rPr>
          <w:rFonts w:hint="eastAsia" w:ascii="宋体" w:hAnsi="宋体"/>
          <w:color w:val="auto"/>
          <w:sz w:val="24"/>
          <w:highlight w:val="none"/>
        </w:rPr>
        <w:t>中获得</w:t>
      </w:r>
      <w:r>
        <w:rPr>
          <w:rFonts w:ascii="宋体" w:hAnsi="宋体"/>
          <w:color w:val="auto"/>
          <w:sz w:val="24"/>
          <w:highlight w:val="none"/>
        </w:rPr>
        <w:t>中标</w:t>
      </w:r>
      <w:r>
        <w:rPr>
          <w:rFonts w:hint="eastAsia" w:ascii="宋体" w:hAnsi="宋体"/>
          <w:color w:val="auto"/>
          <w:sz w:val="24"/>
          <w:highlight w:val="none"/>
        </w:rPr>
        <w:t>（成交）资格</w:t>
      </w:r>
      <w:r>
        <w:rPr>
          <w:rFonts w:ascii="宋体" w:hAnsi="宋体"/>
          <w:color w:val="auto"/>
          <w:sz w:val="24"/>
          <w:highlight w:val="none"/>
        </w:rPr>
        <w:t>，</w:t>
      </w:r>
      <w:r>
        <w:rPr>
          <w:rFonts w:hint="eastAsia" w:ascii="宋体" w:hAnsi="宋体"/>
          <w:color w:val="auto"/>
          <w:sz w:val="24"/>
          <w:highlight w:val="none"/>
        </w:rPr>
        <w:t>将</w:t>
      </w:r>
      <w:r>
        <w:rPr>
          <w:rFonts w:ascii="宋体" w:hAnsi="宋体"/>
          <w:color w:val="auto"/>
          <w:sz w:val="24"/>
          <w:highlight w:val="none"/>
        </w:rPr>
        <w:t>同意支付采购代理服务费。</w:t>
      </w:r>
    </w:p>
    <w:p>
      <w:pPr>
        <w:pStyle w:val="45"/>
        <w:spacing w:after="0" w:line="360" w:lineRule="auto"/>
        <w:ind w:left="0" w:leftChars="0" w:firstLine="480"/>
        <w:rPr>
          <w:rFonts w:ascii="宋体" w:hAnsi="宋体"/>
          <w:color w:val="auto"/>
          <w:sz w:val="24"/>
          <w:highlight w:val="none"/>
        </w:rPr>
      </w:pPr>
      <w:r>
        <w:rPr>
          <w:rFonts w:hint="eastAsia" w:ascii="宋体" w:hAnsi="宋体"/>
          <w:color w:val="auto"/>
          <w:sz w:val="24"/>
          <w:highlight w:val="none"/>
        </w:rPr>
        <w:t>我方保证在贵公司发出《领取中标（成交）通知书》后</w:t>
      </w:r>
      <w:r>
        <w:rPr>
          <w:rFonts w:ascii="宋体" w:hAnsi="宋体"/>
          <w:color w:val="auto"/>
          <w:sz w:val="24"/>
          <w:highlight w:val="none"/>
        </w:rPr>
        <w:t>3个工作日内向贵公司缴纳本采购文件</w:t>
      </w:r>
      <w:r>
        <w:rPr>
          <w:rFonts w:hint="eastAsia" w:ascii="宋体" w:hAnsi="宋体"/>
          <w:color w:val="auto"/>
          <w:sz w:val="24"/>
          <w:highlight w:val="none"/>
        </w:rPr>
        <w:t>规定</w:t>
      </w:r>
      <w:r>
        <w:rPr>
          <w:rFonts w:ascii="宋体" w:hAnsi="宋体"/>
          <w:color w:val="auto"/>
          <w:sz w:val="24"/>
          <w:highlight w:val="none"/>
        </w:rPr>
        <w:t>的采购代理服务费。</w:t>
      </w:r>
    </w:p>
    <w:p>
      <w:pPr>
        <w:pStyle w:val="45"/>
        <w:spacing w:after="0" w:line="360" w:lineRule="auto"/>
        <w:ind w:left="0" w:leftChars="0" w:firstLine="480"/>
        <w:rPr>
          <w:rFonts w:ascii="宋体" w:hAnsi="宋体"/>
          <w:color w:val="auto"/>
          <w:sz w:val="24"/>
          <w:highlight w:val="none"/>
        </w:rPr>
      </w:pPr>
      <w:r>
        <w:rPr>
          <w:rFonts w:hint="eastAsia" w:ascii="宋体" w:hAnsi="宋体"/>
          <w:color w:val="auto"/>
          <w:sz w:val="24"/>
          <w:highlight w:val="none"/>
        </w:rPr>
        <w:t>若我方未按前述期限支付采购代理服务费，贵公司有权直接在应付我方任何一笔款项中直接扣除。因前述事项发生争议，我方同意将争议提交</w:t>
      </w:r>
      <w:r>
        <w:rPr>
          <w:rFonts w:hint="eastAsia" w:ascii="宋体" w:hAnsi="宋体" w:eastAsia="宋体" w:cs="宋体"/>
          <w:color w:val="auto"/>
          <w:sz w:val="24"/>
        </w:rPr>
        <w:t>茂名市仲裁委仲裁解决。</w:t>
      </w:r>
    </w:p>
    <w:p>
      <w:pPr>
        <w:pStyle w:val="45"/>
        <w:spacing w:after="0" w:line="360" w:lineRule="auto"/>
        <w:ind w:left="0" w:leftChars="0" w:firstLine="480"/>
        <w:rPr>
          <w:rFonts w:ascii="宋体" w:hAnsi="宋体"/>
          <w:color w:val="auto"/>
          <w:sz w:val="24"/>
          <w:highlight w:val="none"/>
        </w:rPr>
      </w:pPr>
      <w:r>
        <w:rPr>
          <w:rFonts w:hint="eastAsia" w:ascii="宋体" w:hAnsi="宋体"/>
          <w:color w:val="auto"/>
          <w:sz w:val="24"/>
          <w:highlight w:val="none"/>
        </w:rPr>
        <w:t>特此承诺！</w:t>
      </w:r>
    </w:p>
    <w:p>
      <w:pPr>
        <w:jc w:val="left"/>
        <w:rPr>
          <w:rFonts w:ascii="宋体" w:hAnsi="宋体"/>
          <w:color w:val="auto"/>
          <w:sz w:val="24"/>
          <w:highlight w:val="none"/>
        </w:rPr>
      </w:pPr>
      <w:r>
        <w:rPr>
          <w:rFonts w:hint="eastAsia" w:ascii="宋体" w:hAnsi="宋体"/>
          <w:color w:val="auto"/>
          <w:sz w:val="24"/>
          <w:highlight w:val="none"/>
        </w:rPr>
        <w:t xml:space="preserve"> </w:t>
      </w:r>
    </w:p>
    <w:p>
      <w:pPr>
        <w:pStyle w:val="356"/>
        <w:spacing w:line="480" w:lineRule="auto"/>
        <w:ind w:firstLine="0" w:firstLineChars="0"/>
        <w:jc w:val="right"/>
        <w:rPr>
          <w:color w:val="auto"/>
          <w:highlight w:val="none"/>
          <w:lang w:eastAsia="zh-CN"/>
        </w:rPr>
      </w:pPr>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pStyle w:val="356"/>
        <w:spacing w:line="480" w:lineRule="auto"/>
        <w:ind w:firstLine="4960" w:firstLineChars="2067"/>
        <w:jc w:val="right"/>
        <w:rPr>
          <w:color w:val="auto"/>
          <w:highlight w:val="none"/>
        </w:rPr>
      </w:pPr>
      <w:r>
        <w:rPr>
          <w:rFonts w:hint="eastAsia"/>
          <w:color w:val="auto"/>
          <w:highlight w:val="none"/>
        </w:rPr>
        <w:t>日期：</w:t>
      </w:r>
      <w:r>
        <w:rPr>
          <w:color w:val="auto"/>
          <w:highlight w:val="none"/>
          <w:u w:val="single"/>
        </w:rPr>
        <w:t xml:space="preserve">     </w:t>
      </w:r>
      <w:r>
        <w:rPr>
          <w:color w:val="auto"/>
          <w:highlight w:val="none"/>
        </w:rPr>
        <w:t>年</w:t>
      </w:r>
      <w:r>
        <w:rPr>
          <w:color w:val="auto"/>
          <w:highlight w:val="none"/>
          <w:u w:val="single"/>
        </w:rPr>
        <w:t xml:space="preserve">     </w:t>
      </w:r>
      <w:r>
        <w:rPr>
          <w:color w:val="auto"/>
          <w:highlight w:val="none"/>
        </w:rPr>
        <w:t>月</w:t>
      </w:r>
      <w:r>
        <w:rPr>
          <w:color w:val="auto"/>
          <w:highlight w:val="none"/>
          <w:u w:val="single"/>
        </w:rPr>
        <w:t xml:space="preserve">     </w:t>
      </w:r>
      <w:r>
        <w:rPr>
          <w:color w:val="auto"/>
          <w:highlight w:val="none"/>
        </w:rPr>
        <w:t>日</w:t>
      </w:r>
    </w:p>
    <w:p>
      <w:pPr>
        <w:pStyle w:val="2"/>
        <w:rPr>
          <w:rFonts w:ascii="宋体" w:hAnsi="宋体"/>
          <w:color w:val="auto"/>
          <w:highlight w:val="none"/>
        </w:rPr>
      </w:pPr>
    </w:p>
    <w:p>
      <w:pPr>
        <w:ind w:firstLine="420" w:firstLineChars="200"/>
        <w:jc w:val="left"/>
        <w:rPr>
          <w:rFonts w:ascii="宋体" w:hAnsi="宋体"/>
          <w:color w:val="auto"/>
          <w:szCs w:val="21"/>
          <w:highlight w:val="none"/>
        </w:rPr>
      </w:pPr>
      <w:r>
        <w:rPr>
          <w:rFonts w:hint="eastAsia" w:ascii="宋体" w:hAnsi="宋体"/>
          <w:color w:val="auto"/>
          <w:szCs w:val="21"/>
          <w:highlight w:val="none"/>
        </w:rPr>
        <w:t>附件：</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773"/>
        <w:gridCol w:w="5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2" w:type="pct"/>
            <w:gridSpan w:val="2"/>
            <w:vAlign w:val="center"/>
          </w:tcPr>
          <w:p>
            <w:pPr>
              <w:pStyle w:val="2"/>
              <w:spacing w:line="240" w:lineRule="auto"/>
              <w:ind w:firstLine="422"/>
              <w:jc w:val="center"/>
              <w:rPr>
                <w:rFonts w:ascii="宋体" w:hAnsi="宋体"/>
                <w:b/>
                <w:bCs/>
                <w:color w:val="auto"/>
                <w:szCs w:val="21"/>
                <w:highlight w:val="none"/>
              </w:rPr>
            </w:pPr>
            <w:r>
              <w:rPr>
                <w:rFonts w:hint="eastAsia" w:ascii="宋体" w:hAnsi="宋体"/>
                <w:b/>
                <w:bCs/>
                <w:color w:val="auto"/>
                <w:szCs w:val="21"/>
                <w:highlight w:val="none"/>
              </w:rPr>
              <w:t>项目</w:t>
            </w:r>
          </w:p>
        </w:tc>
        <w:tc>
          <w:tcPr>
            <w:tcW w:w="3108" w:type="pct"/>
            <w:vAlign w:val="center"/>
          </w:tcPr>
          <w:p>
            <w:pPr>
              <w:pStyle w:val="2"/>
              <w:spacing w:line="240" w:lineRule="auto"/>
              <w:ind w:firstLine="422"/>
              <w:jc w:val="center"/>
              <w:rPr>
                <w:rFonts w:ascii="宋体" w:hAnsi="宋体"/>
                <w:b/>
                <w:bCs/>
                <w:color w:val="auto"/>
                <w:szCs w:val="21"/>
                <w:highlight w:val="none"/>
              </w:rPr>
            </w:pPr>
            <w:r>
              <w:rPr>
                <w:rFonts w:hint="eastAsia" w:ascii="宋体" w:hAnsi="宋体"/>
                <w:b/>
                <w:bCs/>
                <w:color w:val="auto"/>
                <w:szCs w:val="21"/>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3" w:type="pct"/>
            <w:vMerge w:val="restar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增值税专用发票开票信息</w:t>
            </w:r>
          </w:p>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（此信息适用于开具采购代理服务费发票，请准确填写，如有变更应及时联系代理机构）</w:t>
            </w: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发票类型</w:t>
            </w:r>
          </w:p>
        </w:tc>
        <w:tc>
          <w:tcPr>
            <w:tcW w:w="3108"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 xml:space="preserve">□增值税普通发票 </w:t>
            </w:r>
            <w:r>
              <w:rPr>
                <w:rFonts w:ascii="宋体" w:hAnsi="宋体"/>
                <w:color w:val="auto"/>
                <w:szCs w:val="21"/>
                <w:highlight w:val="none"/>
              </w:rPr>
              <w:t xml:space="preserve"> </w:t>
            </w:r>
            <w:r>
              <w:rPr>
                <w:rFonts w:hint="eastAsia" w:ascii="宋体" w:hAnsi="宋体"/>
                <w:color w:val="auto"/>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3" w:type="pct"/>
            <w:vMerge w:val="continue"/>
            <w:vAlign w:val="center"/>
          </w:tcPr>
          <w:p>
            <w:pPr>
              <w:pStyle w:val="2"/>
              <w:spacing w:line="240" w:lineRule="auto"/>
              <w:jc w:val="center"/>
              <w:rPr>
                <w:rFonts w:ascii="宋体" w:hAnsi="宋体"/>
                <w:color w:val="auto"/>
                <w:szCs w:val="21"/>
                <w:highlight w:val="none"/>
              </w:rPr>
            </w:pP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名称</w:t>
            </w:r>
          </w:p>
        </w:tc>
        <w:tc>
          <w:tcPr>
            <w:tcW w:w="3108" w:type="pct"/>
            <w:vAlign w:val="center"/>
          </w:tcPr>
          <w:p>
            <w:pPr>
              <w:pStyle w:val="2"/>
              <w:spacing w:line="24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ascii="宋体" w:hAnsi="宋体"/>
                <w:color w:val="auto"/>
                <w:szCs w:val="21"/>
                <w:highlight w:val="none"/>
              </w:rPr>
            </w:pP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纳税人识别号</w:t>
            </w:r>
          </w:p>
        </w:tc>
        <w:tc>
          <w:tcPr>
            <w:tcW w:w="3108" w:type="pct"/>
            <w:vAlign w:val="center"/>
          </w:tcPr>
          <w:p>
            <w:pPr>
              <w:pStyle w:val="2"/>
              <w:spacing w:line="24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ascii="宋体" w:hAnsi="宋体"/>
                <w:color w:val="auto"/>
                <w:szCs w:val="21"/>
                <w:highlight w:val="none"/>
              </w:rPr>
            </w:pP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单位地址</w:t>
            </w:r>
          </w:p>
        </w:tc>
        <w:tc>
          <w:tcPr>
            <w:tcW w:w="3108" w:type="pct"/>
            <w:vAlign w:val="center"/>
          </w:tcPr>
          <w:p>
            <w:pPr>
              <w:pStyle w:val="2"/>
              <w:spacing w:line="24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ascii="宋体" w:hAnsi="宋体"/>
                <w:color w:val="auto"/>
                <w:szCs w:val="21"/>
                <w:highlight w:val="none"/>
              </w:rPr>
            </w:pP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电话号码</w:t>
            </w:r>
          </w:p>
        </w:tc>
        <w:tc>
          <w:tcPr>
            <w:tcW w:w="3108" w:type="pct"/>
            <w:vAlign w:val="center"/>
          </w:tcPr>
          <w:p>
            <w:pPr>
              <w:pStyle w:val="2"/>
              <w:spacing w:line="24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ascii="宋体" w:hAnsi="宋体"/>
                <w:color w:val="auto"/>
                <w:szCs w:val="21"/>
                <w:highlight w:val="none"/>
              </w:rPr>
            </w:pP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开户银行</w:t>
            </w:r>
          </w:p>
        </w:tc>
        <w:tc>
          <w:tcPr>
            <w:tcW w:w="3108" w:type="pct"/>
            <w:vAlign w:val="center"/>
          </w:tcPr>
          <w:p>
            <w:pPr>
              <w:pStyle w:val="2"/>
              <w:spacing w:line="24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ascii="宋体" w:hAnsi="宋体"/>
                <w:color w:val="auto"/>
                <w:szCs w:val="21"/>
                <w:highlight w:val="none"/>
              </w:rPr>
            </w:pP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银行账号</w:t>
            </w:r>
          </w:p>
        </w:tc>
        <w:tc>
          <w:tcPr>
            <w:tcW w:w="3108" w:type="pct"/>
            <w:vAlign w:val="center"/>
          </w:tcPr>
          <w:p>
            <w:pPr>
              <w:pStyle w:val="2"/>
              <w:spacing w:line="24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restar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供应商发票收件信息</w:t>
            </w: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联系人</w:t>
            </w:r>
          </w:p>
        </w:tc>
        <w:tc>
          <w:tcPr>
            <w:tcW w:w="3108" w:type="pct"/>
            <w:vAlign w:val="center"/>
          </w:tcPr>
          <w:p>
            <w:pPr>
              <w:pStyle w:val="2"/>
              <w:spacing w:line="24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ascii="宋体" w:hAnsi="宋体"/>
                <w:color w:val="auto"/>
                <w:szCs w:val="21"/>
                <w:highlight w:val="none"/>
              </w:rPr>
            </w:pP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联系电话</w:t>
            </w:r>
          </w:p>
        </w:tc>
        <w:tc>
          <w:tcPr>
            <w:tcW w:w="3108" w:type="pct"/>
            <w:vAlign w:val="center"/>
          </w:tcPr>
          <w:p>
            <w:pPr>
              <w:pStyle w:val="2"/>
              <w:spacing w:line="24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ascii="宋体" w:hAnsi="宋体"/>
                <w:color w:val="auto"/>
                <w:szCs w:val="21"/>
                <w:highlight w:val="none"/>
              </w:rPr>
            </w:pPr>
          </w:p>
        </w:tc>
        <w:tc>
          <w:tcPr>
            <w:tcW w:w="959" w:type="pct"/>
            <w:vAlign w:val="center"/>
          </w:tcPr>
          <w:p>
            <w:pPr>
              <w:pStyle w:val="2"/>
              <w:spacing w:line="240" w:lineRule="auto"/>
              <w:jc w:val="center"/>
              <w:rPr>
                <w:rFonts w:ascii="宋体" w:hAnsi="宋体"/>
                <w:color w:val="auto"/>
                <w:szCs w:val="21"/>
                <w:highlight w:val="none"/>
              </w:rPr>
            </w:pPr>
            <w:r>
              <w:rPr>
                <w:rFonts w:hint="eastAsia" w:ascii="宋体" w:hAnsi="宋体"/>
                <w:color w:val="auto"/>
                <w:szCs w:val="21"/>
                <w:highlight w:val="none"/>
              </w:rPr>
              <w:t>收件地址</w:t>
            </w:r>
          </w:p>
        </w:tc>
        <w:tc>
          <w:tcPr>
            <w:tcW w:w="3108" w:type="pct"/>
            <w:vAlign w:val="center"/>
          </w:tcPr>
          <w:p>
            <w:pPr>
              <w:pStyle w:val="2"/>
              <w:spacing w:line="240" w:lineRule="auto"/>
              <w:jc w:val="center"/>
              <w:rPr>
                <w:rFonts w:ascii="宋体" w:hAnsi="宋体"/>
                <w:color w:val="auto"/>
                <w:szCs w:val="21"/>
                <w:highlight w:val="none"/>
              </w:rPr>
            </w:pPr>
          </w:p>
        </w:tc>
      </w:tr>
    </w:tbl>
    <w:p>
      <w:pPr>
        <w:rPr>
          <w:color w:val="auto"/>
          <w:highlight w:val="none"/>
        </w:rPr>
      </w:pPr>
    </w:p>
    <w:p>
      <w:pPr>
        <w:rPr>
          <w:rFonts w:ascii="宋体" w:hAnsi="宋体"/>
          <w:b/>
          <w:bCs/>
          <w:color w:val="auto"/>
          <w:sz w:val="24"/>
          <w:szCs w:val="21"/>
          <w:highlight w:val="none"/>
        </w:rPr>
      </w:pPr>
      <w:r>
        <w:rPr>
          <w:rFonts w:ascii="宋体" w:hAnsi="宋体"/>
          <w:color w:val="auto"/>
          <w:szCs w:val="21"/>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r>
        <w:rPr>
          <w:rFonts w:hint="eastAsia" w:ascii="宋体" w:hAnsi="宋体"/>
          <w:color w:val="auto"/>
          <w:szCs w:val="24"/>
          <w:highlight w:val="none"/>
        </w:rPr>
        <w:t>项目实施方案、质量保证及售后服务承诺等内容和格式自拟</w:t>
      </w:r>
    </w:p>
    <w:p>
      <w:pPr>
        <w:pStyle w:val="45"/>
        <w:spacing w:line="360" w:lineRule="auto"/>
        <w:ind w:left="0" w:leftChars="0" w:firstLine="0" w:firstLineChars="0"/>
        <w:rPr>
          <w:color w:val="auto"/>
          <w:szCs w:val="21"/>
          <w:highlight w:val="none"/>
        </w:rPr>
      </w:pPr>
      <w:r>
        <w:rPr>
          <w:rFonts w:hint="eastAsia"/>
          <w:color w:val="auto"/>
          <w:szCs w:val="21"/>
          <w:highlight w:val="none"/>
        </w:rPr>
        <w:t>（以下格式文件由供应商根据需要选用，根据评审细则内容自行编制）</w:t>
      </w:r>
    </w:p>
    <w:p>
      <w:pPr>
        <w:pStyle w:val="4"/>
        <w:keepNext w:val="0"/>
        <w:keepLines w:val="0"/>
        <w:spacing w:line="415" w:lineRule="auto"/>
        <w:rPr>
          <w:rFonts w:ascii="宋体" w:hAnsi="宋体"/>
          <w:bCs w:val="0"/>
          <w:color w:val="auto"/>
          <w:sz w:val="28"/>
          <w:szCs w:val="28"/>
          <w:highlight w:val="none"/>
        </w:rPr>
      </w:pPr>
      <w:r>
        <w:rPr>
          <w:rFonts w:ascii="宋体" w:hAnsi="宋体"/>
          <w:color w:val="auto"/>
          <w:szCs w:val="21"/>
          <w:highlight w:val="none"/>
        </w:rPr>
        <w:br w:type="page"/>
      </w:r>
    </w:p>
    <w:p>
      <w:pPr>
        <w:pStyle w:val="4"/>
        <w:keepNext w:val="0"/>
        <w:keepLines w:val="0"/>
        <w:numPr>
          <w:ilvl w:val="0"/>
          <w:numId w:val="27"/>
        </w:numPr>
        <w:spacing w:before="120" w:after="120" w:line="240" w:lineRule="auto"/>
        <w:rPr>
          <w:rFonts w:ascii="宋体" w:hAnsi="宋体"/>
          <w:color w:val="auto"/>
          <w:szCs w:val="24"/>
          <w:highlight w:val="none"/>
        </w:rPr>
      </w:pPr>
      <w:bookmarkStart w:id="204" w:name="_Toc104040723"/>
      <w:bookmarkStart w:id="205" w:name="_Toc103033256"/>
      <w:r>
        <w:rPr>
          <w:rFonts w:hint="eastAsia" w:ascii="宋体" w:hAnsi="宋体"/>
          <w:color w:val="auto"/>
          <w:szCs w:val="24"/>
          <w:highlight w:val="none"/>
        </w:rPr>
        <w:t>询问函、质疑函、投诉书格式</w:t>
      </w:r>
      <w:bookmarkEnd w:id="204"/>
      <w:bookmarkEnd w:id="205"/>
    </w:p>
    <w:p>
      <w:pPr>
        <w:jc w:val="left"/>
        <w:rPr>
          <w:rFonts w:ascii="宋体" w:hAnsi="宋体" w:cs="宋体"/>
          <w:i/>
          <w:iCs/>
          <w:color w:val="auto"/>
          <w:szCs w:val="21"/>
          <w:highlight w:val="none"/>
        </w:rPr>
      </w:pPr>
      <w:bookmarkStart w:id="206" w:name="_Hlk112011260"/>
      <w:r>
        <w:rPr>
          <w:rFonts w:hint="eastAsia" w:ascii="宋体" w:hAnsi="宋体" w:cs="宋体"/>
          <w:i/>
          <w:iCs/>
          <w:color w:val="auto"/>
          <w:szCs w:val="21"/>
          <w:highlight w:val="none"/>
        </w:rPr>
        <w:t>（以下格式文件为供应商提交询问函、质疑函、投诉函时使用，不属于响应文件格式的组成部分，供应商根据需要选用）</w:t>
      </w:r>
    </w:p>
    <w:bookmarkEnd w:id="206"/>
    <w:p>
      <w:pPr>
        <w:jc w:val="center"/>
        <w:rPr>
          <w:rFonts w:ascii="宋体" w:hAnsi="宋体"/>
          <w:b/>
          <w:bCs/>
          <w:color w:val="auto"/>
          <w:sz w:val="28"/>
          <w:szCs w:val="28"/>
          <w:highlight w:val="none"/>
        </w:rPr>
      </w:pPr>
      <w:bookmarkStart w:id="207" w:name="_Hlk112011287"/>
      <w:r>
        <w:rPr>
          <w:rFonts w:hint="eastAsia" w:ascii="宋体" w:hAnsi="宋体"/>
          <w:b/>
          <w:bCs/>
          <w:color w:val="auto"/>
          <w:sz w:val="28"/>
          <w:szCs w:val="28"/>
          <w:highlight w:val="none"/>
        </w:rPr>
        <w:t>询问函</w:t>
      </w:r>
    </w:p>
    <w:p>
      <w:pPr>
        <w:rPr>
          <w:rFonts w:ascii="宋体" w:hAnsi="宋体"/>
          <w:color w:val="auto"/>
          <w:szCs w:val="21"/>
          <w:highlight w:val="none"/>
        </w:rPr>
      </w:pPr>
      <w:r>
        <w:rPr>
          <w:rFonts w:hint="eastAsia" w:ascii="宋体" w:hAnsi="宋体"/>
          <w:color w:val="auto"/>
          <w:szCs w:val="21"/>
          <w:highlight w:val="none"/>
        </w:rPr>
        <w:t>广东达禾工程管理有限公司：</w:t>
      </w:r>
    </w:p>
    <w:p>
      <w:pPr>
        <w:ind w:firstLine="420" w:firstLineChars="200"/>
        <w:rPr>
          <w:rFonts w:ascii="宋体" w:hAnsi="宋体"/>
          <w:color w:val="auto"/>
          <w:szCs w:val="21"/>
          <w:highlight w:val="none"/>
        </w:rPr>
      </w:pPr>
      <w:r>
        <w:rPr>
          <w:rFonts w:hint="eastAsia" w:ascii="宋体" w:hAnsi="宋体"/>
          <w:color w:val="auto"/>
          <w:szCs w:val="21"/>
          <w:highlight w:val="none"/>
        </w:rPr>
        <w:t>我单位准备参与</w:t>
      </w:r>
      <w:r>
        <w:rPr>
          <w:rFonts w:ascii="宋体" w:hAnsi="宋体"/>
          <w:color w:val="auto"/>
          <w:szCs w:val="21"/>
          <w:highlight w:val="none"/>
          <w:u w:val="single"/>
        </w:rPr>
        <w:t xml:space="preserve">     </w:t>
      </w:r>
      <w:r>
        <w:rPr>
          <w:rFonts w:hint="eastAsia" w:ascii="宋体" w:hAnsi="宋体"/>
          <w:color w:val="auto"/>
          <w:szCs w:val="21"/>
          <w:highlight w:val="none"/>
          <w:u w:val="single"/>
        </w:rPr>
        <w:t>（项目名称）</w:t>
      </w:r>
      <w:r>
        <w:rPr>
          <w:rFonts w:ascii="宋体" w:hAnsi="宋体"/>
          <w:color w:val="auto"/>
          <w:szCs w:val="21"/>
          <w:highlight w:val="none"/>
        </w:rPr>
        <w:t>（项目编</w:t>
      </w:r>
      <w:r>
        <w:rPr>
          <w:rFonts w:hint="eastAsia" w:ascii="宋体" w:hAnsi="宋体"/>
          <w:color w:val="auto"/>
          <w:szCs w:val="21"/>
          <w:highlight w:val="none"/>
        </w:rPr>
        <w:t>号：</w:t>
      </w:r>
      <w:r>
        <w:rPr>
          <w:rFonts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的采购活动，现有以下几个内容（或条款）存在疑问（或无法理解），特提出询问。</w:t>
      </w:r>
    </w:p>
    <w:p>
      <w:pPr>
        <w:pStyle w:val="45"/>
        <w:spacing w:after="0" w:line="360" w:lineRule="auto"/>
        <w:ind w:left="0" w:leftChars="0"/>
        <w:rPr>
          <w:rFonts w:ascii="宋体" w:hAns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u w:val="single"/>
        </w:rPr>
        <w:t xml:space="preserve">                    </w:t>
      </w:r>
      <w:r>
        <w:rPr>
          <w:rFonts w:ascii="宋体" w:hAnsi="宋体"/>
          <w:color w:val="auto"/>
          <w:szCs w:val="21"/>
          <w:highlight w:val="none"/>
        </w:rPr>
        <w:t>（事项一）</w:t>
      </w:r>
    </w:p>
    <w:p>
      <w:pPr>
        <w:pStyle w:val="45"/>
        <w:spacing w:after="0" w:line="360" w:lineRule="auto"/>
        <w:ind w:left="0" w:leftChars="0"/>
        <w:rPr>
          <w:rFonts w:ascii="宋体" w:hAnsi="宋体"/>
          <w:color w:val="auto"/>
          <w:szCs w:val="21"/>
          <w:highlight w:val="none"/>
        </w:rPr>
      </w:pPr>
      <w:r>
        <w:rPr>
          <w:rFonts w:hint="eastAsia" w:ascii="宋体" w:hAnsi="宋体"/>
          <w:color w:val="auto"/>
          <w:szCs w:val="21"/>
          <w:highlight w:val="none"/>
        </w:rPr>
        <w:t>（1）</w:t>
      </w:r>
      <w:bookmarkStart w:id="208" w:name="_Hlk104040459"/>
      <w:r>
        <w:rPr>
          <w:rFonts w:ascii="宋体" w:hAnsi="宋体"/>
          <w:color w:val="auto"/>
          <w:szCs w:val="21"/>
          <w:highlight w:val="none"/>
          <w:u w:val="single"/>
        </w:rPr>
        <w:t xml:space="preserve">                   </w:t>
      </w:r>
      <w:bookmarkEnd w:id="208"/>
      <w:r>
        <w:rPr>
          <w:rFonts w:ascii="宋体" w:hAnsi="宋体"/>
          <w:color w:val="auto"/>
          <w:szCs w:val="21"/>
          <w:highlight w:val="none"/>
        </w:rPr>
        <w:t>（问题或条款内容）</w:t>
      </w:r>
    </w:p>
    <w:p>
      <w:pPr>
        <w:pStyle w:val="45"/>
        <w:spacing w:after="0" w:line="360" w:lineRule="auto"/>
        <w:ind w:left="0" w:leftChars="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u w:val="single"/>
        </w:rPr>
        <w:t xml:space="preserve">                   </w:t>
      </w:r>
      <w:r>
        <w:rPr>
          <w:rFonts w:ascii="宋体" w:hAnsi="宋体"/>
          <w:color w:val="auto"/>
          <w:szCs w:val="21"/>
          <w:highlight w:val="none"/>
        </w:rPr>
        <w:t>（说明疑问或无法理解原因）</w:t>
      </w:r>
    </w:p>
    <w:p>
      <w:pPr>
        <w:pStyle w:val="45"/>
        <w:spacing w:after="0" w:line="360" w:lineRule="auto"/>
        <w:ind w:left="0" w:leftChars="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u w:val="single"/>
        </w:rPr>
        <w:t xml:space="preserve">                   </w:t>
      </w:r>
      <w:r>
        <w:rPr>
          <w:rFonts w:ascii="宋体" w:hAnsi="宋体"/>
          <w:color w:val="auto"/>
          <w:szCs w:val="21"/>
          <w:highlight w:val="none"/>
        </w:rPr>
        <w:t xml:space="preserve">（建议） </w:t>
      </w:r>
    </w:p>
    <w:p>
      <w:pPr>
        <w:pStyle w:val="45"/>
        <w:spacing w:after="0" w:line="360" w:lineRule="auto"/>
        <w:ind w:left="0" w:leftChars="0"/>
        <w:rPr>
          <w:rFonts w:ascii="宋体" w:hAnsi="宋体"/>
          <w:color w:val="auto"/>
          <w:szCs w:val="21"/>
          <w:highlight w:val="none"/>
        </w:rPr>
      </w:pPr>
      <w:r>
        <w:rPr>
          <w:rFonts w:ascii="宋体" w:hAnsi="宋体"/>
          <w:color w:val="auto"/>
          <w:szCs w:val="21"/>
          <w:highlight w:val="none"/>
        </w:rPr>
        <w:t>二、</w:t>
      </w:r>
      <w:r>
        <w:rPr>
          <w:rFonts w:ascii="宋体" w:hAnsi="宋体"/>
          <w:color w:val="auto"/>
          <w:szCs w:val="21"/>
          <w:highlight w:val="none"/>
          <w:u w:val="single"/>
        </w:rPr>
        <w:t xml:space="preserve">                    </w:t>
      </w:r>
      <w:r>
        <w:rPr>
          <w:rFonts w:ascii="宋体" w:hAnsi="宋体"/>
          <w:color w:val="auto"/>
          <w:szCs w:val="21"/>
          <w:highlight w:val="none"/>
        </w:rPr>
        <w:t>（事项二）</w:t>
      </w:r>
    </w:p>
    <w:p>
      <w:pPr>
        <w:pStyle w:val="45"/>
        <w:spacing w:after="0" w:line="360" w:lineRule="auto"/>
        <w:ind w:left="0" w:leftChars="0"/>
        <w:rPr>
          <w:rFonts w:ascii="宋体" w:hAnsi="宋体"/>
          <w:color w:val="auto"/>
          <w:szCs w:val="21"/>
          <w:highlight w:val="none"/>
        </w:rPr>
      </w:pPr>
      <w:r>
        <w:rPr>
          <w:rFonts w:ascii="宋体" w:hAnsi="宋体"/>
          <w:color w:val="auto"/>
          <w:szCs w:val="21"/>
          <w:highlight w:val="none"/>
        </w:rPr>
        <w:t>...</w:t>
      </w:r>
    </w:p>
    <w:p>
      <w:pPr>
        <w:pStyle w:val="45"/>
        <w:spacing w:after="0" w:line="360" w:lineRule="auto"/>
        <w:ind w:left="0" w:leftChars="0"/>
        <w:rPr>
          <w:rFonts w:ascii="宋体" w:hAnsi="宋体"/>
          <w:color w:val="auto"/>
          <w:szCs w:val="21"/>
          <w:highlight w:val="none"/>
        </w:rPr>
      </w:pPr>
      <w:r>
        <w:rPr>
          <w:rFonts w:hint="eastAsia" w:ascii="宋体" w:hAnsi="宋体"/>
          <w:color w:val="auto"/>
          <w:szCs w:val="21"/>
          <w:highlight w:val="none"/>
        </w:rPr>
        <w:t>随附相关证明材料如下：（目录）</w:t>
      </w:r>
    </w:p>
    <w:p>
      <w:pPr>
        <w:pStyle w:val="2"/>
        <w:rPr>
          <w:rFonts w:ascii="宋体" w:hAnsi="宋体"/>
          <w:color w:val="auto"/>
          <w:szCs w:val="21"/>
          <w:highlight w:val="none"/>
        </w:rPr>
      </w:pPr>
    </w:p>
    <w:p>
      <w:pPr>
        <w:pStyle w:val="2"/>
        <w:rPr>
          <w:rFonts w:ascii="宋体" w:hAnsi="宋体"/>
          <w:color w:val="auto"/>
          <w:szCs w:val="21"/>
          <w:highlight w:val="none"/>
        </w:rPr>
      </w:pPr>
    </w:p>
    <w:p>
      <w:pPr>
        <w:jc w:val="right"/>
        <w:rPr>
          <w:rFonts w:ascii="宋体" w:hAnsi="宋体"/>
          <w:color w:val="auto"/>
          <w:szCs w:val="21"/>
          <w:highlight w:val="none"/>
        </w:rPr>
      </w:pPr>
      <w:r>
        <w:rPr>
          <w:rFonts w:hint="eastAsia" w:ascii="宋体" w:hAnsi="宋体"/>
          <w:color w:val="auto"/>
          <w:szCs w:val="21"/>
          <w:highlight w:val="none"/>
        </w:rPr>
        <w:t>询问人（公章）：</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w:t>
      </w:r>
      <w:r>
        <w:rPr>
          <w:rFonts w:ascii="宋体" w:hAnsi="宋体"/>
          <w:color w:val="auto"/>
          <w:szCs w:val="21"/>
          <w:highlight w:val="none"/>
        </w:rPr>
        <w:t xml:space="preserve"> </w:t>
      </w:r>
    </w:p>
    <w:p>
      <w:pPr>
        <w:jc w:val="right"/>
        <w:rPr>
          <w:rFonts w:ascii="宋体" w:hAnsi="宋体"/>
          <w:color w:val="auto"/>
          <w:szCs w:val="21"/>
          <w:highlight w:val="none"/>
        </w:rPr>
      </w:pPr>
      <w:r>
        <w:rPr>
          <w:rFonts w:hint="eastAsia" w:ascii="宋体" w:hAnsi="宋体"/>
          <w:color w:val="auto"/>
          <w:szCs w:val="21"/>
          <w:highlight w:val="none"/>
        </w:rPr>
        <w:t>法定代表人或其授权代表（签字或盖章）：</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w:t>
      </w:r>
    </w:p>
    <w:p>
      <w:pPr>
        <w:jc w:val="right"/>
        <w:rPr>
          <w:rFonts w:ascii="宋体" w:hAnsi="宋体"/>
          <w:color w:val="auto"/>
          <w:szCs w:val="21"/>
          <w:highlight w:val="none"/>
        </w:rPr>
      </w:pPr>
      <w:r>
        <w:rPr>
          <w:rFonts w:hint="eastAsia" w:ascii="宋体" w:hAnsi="宋体"/>
          <w:color w:val="auto"/>
          <w:szCs w:val="21"/>
          <w:highlight w:val="none"/>
        </w:rPr>
        <w:t>地址/邮编：</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w:t>
      </w:r>
    </w:p>
    <w:p>
      <w:pPr>
        <w:jc w:val="right"/>
        <w:rPr>
          <w:rFonts w:ascii="宋体" w:hAnsi="宋体"/>
          <w:color w:val="auto"/>
          <w:szCs w:val="21"/>
          <w:highlight w:val="none"/>
        </w:rPr>
      </w:pPr>
      <w:r>
        <w:rPr>
          <w:rFonts w:hint="eastAsia" w:ascii="宋体" w:hAnsi="宋体"/>
          <w:color w:val="auto"/>
          <w:szCs w:val="21"/>
          <w:highlight w:val="none"/>
        </w:rPr>
        <w:t>电话/传真：</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w:t>
      </w:r>
    </w:p>
    <w:p>
      <w:pPr>
        <w:jc w:val="right"/>
        <w:rPr>
          <w:rFonts w:ascii="宋体" w:hAnsi="宋体"/>
          <w:color w:val="auto"/>
          <w:szCs w:val="21"/>
          <w:highlight w:val="none"/>
        </w:rPr>
      </w:pPr>
      <w:r>
        <w:rPr>
          <w:rFonts w:hint="eastAsia" w:ascii="宋体" w:hAnsi="宋体" w:cs="仿宋"/>
          <w:color w:val="auto"/>
          <w:szCs w:val="21"/>
          <w:highlight w:val="none"/>
        </w:rPr>
        <w:t>日期：</w:t>
      </w:r>
      <w:r>
        <w:rPr>
          <w:rFonts w:hint="eastAsia" w:ascii="宋体" w:hAnsi="宋体" w:cs="仿宋"/>
          <w:color w:val="auto"/>
          <w:szCs w:val="21"/>
          <w:highlight w:val="none"/>
          <w:u w:val="dotted"/>
        </w:rPr>
        <w:t xml:space="preserve">     </w:t>
      </w:r>
      <w:r>
        <w:rPr>
          <w:rFonts w:hint="eastAsia" w:ascii="宋体" w:hAnsi="宋体"/>
          <w:color w:val="auto"/>
          <w:szCs w:val="21"/>
          <w:highlight w:val="none"/>
        </w:rPr>
        <w:t>年</w:t>
      </w:r>
      <w:r>
        <w:rPr>
          <w:rFonts w:hint="eastAsia" w:ascii="宋体" w:hAnsi="宋体" w:cs="仿宋"/>
          <w:color w:val="auto"/>
          <w:szCs w:val="21"/>
          <w:highlight w:val="none"/>
          <w:u w:val="dotted"/>
        </w:rPr>
        <w:t xml:space="preserve">     </w:t>
      </w:r>
      <w:r>
        <w:rPr>
          <w:rFonts w:hint="eastAsia" w:ascii="宋体" w:hAnsi="宋体"/>
          <w:color w:val="auto"/>
          <w:szCs w:val="21"/>
          <w:highlight w:val="none"/>
        </w:rPr>
        <w:t>月</w:t>
      </w:r>
      <w:r>
        <w:rPr>
          <w:rFonts w:hint="eastAsia" w:ascii="宋体" w:hAnsi="宋体" w:cs="仿宋"/>
          <w:color w:val="auto"/>
          <w:szCs w:val="21"/>
          <w:highlight w:val="none"/>
          <w:u w:val="dotted"/>
        </w:rPr>
        <w:t xml:space="preserve">     </w:t>
      </w:r>
      <w:r>
        <w:rPr>
          <w:rFonts w:hint="eastAsia" w:ascii="宋体" w:hAnsi="宋体"/>
          <w:color w:val="auto"/>
          <w:szCs w:val="21"/>
          <w:highlight w:val="none"/>
        </w:rPr>
        <w:t>日</w:t>
      </w:r>
    </w:p>
    <w:p>
      <w:pPr>
        <w:rPr>
          <w:rFonts w:ascii="宋体" w:hAnsi="宋体"/>
          <w:color w:val="auto"/>
          <w:szCs w:val="21"/>
          <w:highlight w:val="none"/>
        </w:rPr>
      </w:pPr>
      <w:r>
        <w:rPr>
          <w:rFonts w:ascii="宋体" w:hAnsi="宋体"/>
          <w:color w:val="auto"/>
          <w:szCs w:val="21"/>
          <w:highlight w:val="none"/>
        </w:rPr>
        <w:br w:type="page"/>
      </w:r>
    </w:p>
    <w:p>
      <w:pPr>
        <w:jc w:val="center"/>
        <w:rPr>
          <w:rFonts w:ascii="宋体" w:hAnsi="宋体"/>
          <w:b/>
          <w:bCs/>
          <w:color w:val="auto"/>
          <w:sz w:val="28"/>
          <w:szCs w:val="28"/>
          <w:highlight w:val="none"/>
        </w:rPr>
      </w:pPr>
      <w:r>
        <w:rPr>
          <w:rFonts w:hint="eastAsia" w:ascii="宋体" w:hAnsi="宋体"/>
          <w:b/>
          <w:bCs/>
          <w:color w:val="auto"/>
          <w:sz w:val="28"/>
          <w:szCs w:val="28"/>
          <w:highlight w:val="none"/>
        </w:rPr>
        <w:t>质疑函</w:t>
      </w:r>
    </w:p>
    <w:p>
      <w:pPr>
        <w:pStyle w:val="126"/>
        <w:numPr>
          <w:ilvl w:val="2"/>
          <w:numId w:val="28"/>
        </w:numPr>
        <w:adjustRightInd w:val="0"/>
        <w:snapToGrid w:val="0"/>
        <w:ind w:left="0" w:firstLine="0"/>
        <w:rPr>
          <w:rFonts w:ascii="宋体" w:hAnsi="宋体" w:cs="仿宋"/>
          <w:b/>
          <w:color w:val="auto"/>
          <w:szCs w:val="21"/>
          <w:highlight w:val="none"/>
        </w:rPr>
      </w:pPr>
      <w:r>
        <w:rPr>
          <w:rFonts w:hint="eastAsia" w:ascii="宋体" w:hAnsi="宋体" w:cs="仿宋"/>
          <w:b/>
          <w:color w:val="auto"/>
          <w:szCs w:val="21"/>
          <w:highlight w:val="none"/>
        </w:rPr>
        <w:t>质疑供应商基本信息</w:t>
      </w:r>
    </w:p>
    <w:p>
      <w:pPr>
        <w:adjustRightInd w:val="0"/>
        <w:snapToGrid w:val="0"/>
        <w:rPr>
          <w:rFonts w:ascii="宋体" w:hAnsi="宋体" w:cs="仿宋"/>
          <w:color w:val="auto"/>
          <w:szCs w:val="21"/>
          <w:highlight w:val="none"/>
          <w:u w:val="dotted"/>
        </w:rPr>
      </w:pPr>
      <w:r>
        <w:rPr>
          <w:rFonts w:hint="eastAsia" w:ascii="宋体" w:hAnsi="宋体" w:cs="仿宋"/>
          <w:color w:val="auto"/>
          <w:szCs w:val="21"/>
          <w:highlight w:val="none"/>
        </w:rPr>
        <w:t>质疑供应商：</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rPr>
      </w:pPr>
      <w:r>
        <w:rPr>
          <w:rFonts w:hint="eastAsia" w:ascii="宋体" w:hAnsi="宋体" w:cs="仿宋"/>
          <w:color w:val="auto"/>
          <w:szCs w:val="21"/>
          <w:highlight w:val="none"/>
        </w:rPr>
        <w:t>地址：</w:t>
      </w:r>
      <w:r>
        <w:rPr>
          <w:rFonts w:hint="eastAsia" w:ascii="宋体" w:hAnsi="宋体" w:cs="仿宋"/>
          <w:color w:val="auto"/>
          <w:szCs w:val="21"/>
          <w:highlight w:val="none"/>
          <w:u w:val="dotted"/>
        </w:rPr>
        <w:t xml:space="preserve">                          </w:t>
      </w:r>
      <w:r>
        <w:rPr>
          <w:rFonts w:hint="eastAsia" w:ascii="宋体" w:hAnsi="宋体" w:cs="仿宋"/>
          <w:color w:val="auto"/>
          <w:szCs w:val="21"/>
          <w:highlight w:val="none"/>
        </w:rPr>
        <w:t>邮编：</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rPr>
      </w:pPr>
      <w:r>
        <w:rPr>
          <w:rFonts w:hint="eastAsia" w:ascii="宋体" w:hAnsi="宋体" w:cs="仿宋"/>
          <w:color w:val="auto"/>
          <w:szCs w:val="21"/>
          <w:highlight w:val="none"/>
        </w:rPr>
        <w:t>联系人：</w:t>
      </w:r>
      <w:r>
        <w:rPr>
          <w:rFonts w:hint="eastAsia" w:ascii="宋体" w:hAnsi="宋体" w:cs="仿宋"/>
          <w:color w:val="auto"/>
          <w:szCs w:val="21"/>
          <w:highlight w:val="none"/>
          <w:u w:val="dotted"/>
        </w:rPr>
        <w:t xml:space="preserve">                      </w:t>
      </w:r>
      <w:r>
        <w:rPr>
          <w:rFonts w:hint="eastAsia" w:ascii="宋体" w:hAnsi="宋体" w:cs="仿宋"/>
          <w:color w:val="auto"/>
          <w:szCs w:val="21"/>
          <w:highlight w:val="none"/>
        </w:rPr>
        <w:t>联系电话：</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u w:val="dotted"/>
        </w:rPr>
      </w:pPr>
      <w:r>
        <w:rPr>
          <w:rFonts w:hint="eastAsia" w:ascii="宋体" w:hAnsi="宋体" w:cs="仿宋"/>
          <w:color w:val="auto"/>
          <w:szCs w:val="21"/>
          <w:highlight w:val="none"/>
        </w:rPr>
        <w:t>授权代表：</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rPr>
      </w:pPr>
      <w:r>
        <w:rPr>
          <w:rFonts w:hint="eastAsia" w:ascii="宋体" w:hAnsi="宋体" w:cs="仿宋"/>
          <w:color w:val="auto"/>
          <w:szCs w:val="21"/>
          <w:highlight w:val="none"/>
        </w:rPr>
        <w:t>联系电话：</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r>
        <w:rPr>
          <w:rFonts w:ascii="宋体" w:hAnsi="宋体" w:cs="仿宋"/>
          <w:color w:val="auto"/>
          <w:szCs w:val="21"/>
          <w:highlight w:val="none"/>
        </w:rPr>
        <w:t xml:space="preserve"> </w:t>
      </w:r>
    </w:p>
    <w:p>
      <w:pPr>
        <w:adjustRightInd w:val="0"/>
        <w:snapToGrid w:val="0"/>
        <w:rPr>
          <w:rFonts w:ascii="宋体" w:hAnsi="宋体" w:cs="仿宋"/>
          <w:color w:val="auto"/>
          <w:szCs w:val="21"/>
          <w:highlight w:val="none"/>
        </w:rPr>
      </w:pPr>
      <w:r>
        <w:rPr>
          <w:rFonts w:hint="eastAsia" w:ascii="宋体" w:hAnsi="宋体" w:cs="仿宋"/>
          <w:color w:val="auto"/>
          <w:szCs w:val="21"/>
          <w:highlight w:val="none"/>
        </w:rPr>
        <w:t>地址：</w:t>
      </w:r>
      <w:r>
        <w:rPr>
          <w:rFonts w:ascii="宋体" w:hAnsi="宋体" w:cs="仿宋"/>
          <w:color w:val="auto"/>
          <w:szCs w:val="21"/>
          <w:highlight w:val="none"/>
        </w:rPr>
        <w:t xml:space="preserve"> </w:t>
      </w:r>
      <w:r>
        <w:rPr>
          <w:rFonts w:hint="eastAsia" w:ascii="宋体" w:hAnsi="宋体" w:cs="仿宋"/>
          <w:color w:val="auto"/>
          <w:szCs w:val="21"/>
          <w:highlight w:val="none"/>
          <w:u w:val="dotted"/>
        </w:rPr>
        <w:t xml:space="preserve">                        </w:t>
      </w:r>
      <w:r>
        <w:rPr>
          <w:rFonts w:hint="eastAsia" w:ascii="宋体" w:hAnsi="宋体" w:cs="仿宋"/>
          <w:color w:val="auto"/>
          <w:szCs w:val="21"/>
          <w:highlight w:val="none"/>
        </w:rPr>
        <w:t>邮编：</w:t>
      </w:r>
      <w:r>
        <w:rPr>
          <w:rFonts w:hint="eastAsia" w:ascii="宋体" w:hAnsi="宋体" w:cs="仿宋"/>
          <w:color w:val="auto"/>
          <w:szCs w:val="21"/>
          <w:highlight w:val="none"/>
          <w:u w:val="dotted"/>
        </w:rPr>
        <w:t xml:space="preserve">                 </w:t>
      </w:r>
    </w:p>
    <w:p>
      <w:pPr>
        <w:pStyle w:val="126"/>
        <w:numPr>
          <w:ilvl w:val="2"/>
          <w:numId w:val="28"/>
        </w:numPr>
        <w:adjustRightInd w:val="0"/>
        <w:snapToGrid w:val="0"/>
        <w:ind w:left="0" w:firstLine="0"/>
        <w:rPr>
          <w:rFonts w:ascii="宋体" w:hAnsi="宋体" w:cs="仿宋"/>
          <w:b/>
          <w:color w:val="auto"/>
          <w:szCs w:val="21"/>
          <w:highlight w:val="none"/>
        </w:rPr>
      </w:pPr>
      <w:r>
        <w:rPr>
          <w:rFonts w:hint="eastAsia" w:ascii="宋体" w:hAnsi="宋体" w:cs="仿宋"/>
          <w:b/>
          <w:color w:val="auto"/>
          <w:szCs w:val="21"/>
          <w:highlight w:val="none"/>
        </w:rPr>
        <w:t>质疑项目基本情况</w:t>
      </w:r>
    </w:p>
    <w:p>
      <w:pPr>
        <w:adjustRightInd w:val="0"/>
        <w:snapToGrid w:val="0"/>
        <w:rPr>
          <w:rFonts w:ascii="宋体" w:hAnsi="宋体" w:cs="仿宋"/>
          <w:color w:val="auto"/>
          <w:szCs w:val="21"/>
          <w:highlight w:val="none"/>
        </w:rPr>
      </w:pPr>
      <w:r>
        <w:rPr>
          <w:rFonts w:hint="eastAsia" w:ascii="宋体" w:hAnsi="宋体" w:cs="仿宋"/>
          <w:color w:val="auto"/>
          <w:szCs w:val="21"/>
          <w:highlight w:val="none"/>
        </w:rPr>
        <w:t>质疑项目的名称：</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rPr>
      </w:pPr>
      <w:r>
        <w:rPr>
          <w:rFonts w:hint="eastAsia" w:ascii="宋体" w:hAnsi="宋体" w:cs="仿宋"/>
          <w:color w:val="auto"/>
          <w:szCs w:val="21"/>
          <w:highlight w:val="none"/>
        </w:rPr>
        <w:t>质疑项目的编号：</w:t>
      </w:r>
      <w:r>
        <w:rPr>
          <w:rFonts w:hint="eastAsia" w:ascii="宋体" w:hAnsi="宋体" w:cs="仿宋"/>
          <w:color w:val="auto"/>
          <w:szCs w:val="21"/>
          <w:highlight w:val="none"/>
          <w:u w:val="dotted"/>
        </w:rPr>
        <w:t xml:space="preserve">               </w:t>
      </w:r>
      <w:r>
        <w:rPr>
          <w:rFonts w:hint="eastAsia" w:ascii="宋体" w:hAnsi="宋体" w:cs="仿宋"/>
          <w:color w:val="auto"/>
          <w:szCs w:val="21"/>
          <w:highlight w:val="none"/>
        </w:rPr>
        <w:t>包号：</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u w:val="dotted"/>
        </w:rPr>
      </w:pPr>
      <w:r>
        <w:rPr>
          <w:rFonts w:hint="eastAsia" w:ascii="宋体" w:hAnsi="宋体" w:cs="仿宋"/>
          <w:color w:val="auto"/>
          <w:szCs w:val="21"/>
          <w:highlight w:val="none"/>
        </w:rPr>
        <w:t>采购人名称：</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rPr>
      </w:pPr>
      <w:r>
        <w:rPr>
          <w:rFonts w:hint="eastAsia" w:ascii="宋体" w:hAnsi="宋体" w:cs="仿宋"/>
          <w:color w:val="auto"/>
          <w:szCs w:val="21"/>
          <w:highlight w:val="none"/>
        </w:rPr>
        <w:t>采购文件获取日期：</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p>
    <w:p>
      <w:pPr>
        <w:pStyle w:val="126"/>
        <w:numPr>
          <w:ilvl w:val="2"/>
          <w:numId w:val="28"/>
        </w:numPr>
        <w:adjustRightInd w:val="0"/>
        <w:snapToGrid w:val="0"/>
        <w:ind w:left="0" w:firstLine="0"/>
        <w:rPr>
          <w:rFonts w:ascii="宋体" w:hAnsi="宋体" w:cs="仿宋"/>
          <w:b/>
          <w:color w:val="auto"/>
          <w:szCs w:val="21"/>
          <w:highlight w:val="none"/>
        </w:rPr>
      </w:pPr>
      <w:r>
        <w:rPr>
          <w:rFonts w:hint="eastAsia" w:ascii="宋体" w:hAnsi="宋体" w:cs="仿宋"/>
          <w:b/>
          <w:color w:val="auto"/>
          <w:szCs w:val="21"/>
          <w:highlight w:val="none"/>
        </w:rPr>
        <w:t>质疑事项具体内容</w:t>
      </w:r>
    </w:p>
    <w:p>
      <w:pPr>
        <w:adjustRightInd w:val="0"/>
        <w:snapToGrid w:val="0"/>
        <w:rPr>
          <w:rFonts w:ascii="宋体" w:hAnsi="宋体" w:cs="仿宋"/>
          <w:color w:val="auto"/>
          <w:szCs w:val="21"/>
          <w:highlight w:val="none"/>
          <w:u w:val="dotted"/>
        </w:rPr>
      </w:pPr>
      <w:r>
        <w:rPr>
          <w:rFonts w:hint="eastAsia" w:ascii="宋体" w:hAnsi="宋体" w:cs="仿宋"/>
          <w:color w:val="auto"/>
          <w:szCs w:val="21"/>
          <w:highlight w:val="none"/>
        </w:rPr>
        <w:t>质疑事项1：</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u w:val="dotted"/>
        </w:rPr>
      </w:pPr>
      <w:r>
        <w:rPr>
          <w:rFonts w:hint="eastAsia" w:ascii="宋体" w:hAnsi="宋体" w:cs="仿宋"/>
          <w:color w:val="auto"/>
          <w:szCs w:val="21"/>
          <w:highlight w:val="none"/>
        </w:rPr>
        <w:t>事实依据：</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u w:val="dotted"/>
        </w:rPr>
      </w:pPr>
      <w:r>
        <w:rPr>
          <w:rFonts w:hint="eastAsia" w:ascii="宋体" w:hAnsi="宋体" w:cs="仿宋"/>
          <w:color w:val="auto"/>
          <w:szCs w:val="21"/>
          <w:highlight w:val="none"/>
        </w:rPr>
        <w:t>法律依据：</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p>
    <w:p>
      <w:pPr>
        <w:adjustRightInd w:val="0"/>
        <w:snapToGrid w:val="0"/>
        <w:rPr>
          <w:rFonts w:ascii="宋体" w:hAnsi="宋体" w:cs="仿宋"/>
          <w:color w:val="auto"/>
          <w:szCs w:val="21"/>
          <w:highlight w:val="none"/>
          <w:u w:val="dotted"/>
        </w:rPr>
      </w:pPr>
      <w:r>
        <w:rPr>
          <w:rFonts w:hint="eastAsia" w:ascii="宋体" w:hAnsi="宋体" w:cs="仿宋"/>
          <w:color w:val="auto"/>
          <w:szCs w:val="21"/>
          <w:highlight w:val="none"/>
        </w:rPr>
        <w:t>质疑事项2</w:t>
      </w:r>
    </w:p>
    <w:p>
      <w:pPr>
        <w:adjustRightInd w:val="0"/>
        <w:snapToGrid w:val="0"/>
        <w:rPr>
          <w:rFonts w:ascii="宋体" w:hAnsi="宋体" w:cs="仿宋"/>
          <w:color w:val="auto"/>
          <w:szCs w:val="21"/>
          <w:highlight w:val="none"/>
        </w:rPr>
      </w:pPr>
      <w:r>
        <w:rPr>
          <w:rFonts w:hint="eastAsia" w:ascii="宋体" w:hAnsi="宋体" w:cs="仿宋"/>
          <w:color w:val="auto"/>
          <w:szCs w:val="21"/>
          <w:highlight w:val="none"/>
        </w:rPr>
        <w:t>……</w:t>
      </w:r>
    </w:p>
    <w:p>
      <w:pPr>
        <w:pStyle w:val="126"/>
        <w:numPr>
          <w:ilvl w:val="2"/>
          <w:numId w:val="28"/>
        </w:numPr>
        <w:adjustRightInd w:val="0"/>
        <w:snapToGrid w:val="0"/>
        <w:ind w:left="0" w:firstLine="0"/>
        <w:rPr>
          <w:rFonts w:ascii="宋体" w:hAnsi="宋体" w:cs="仿宋"/>
          <w:b/>
          <w:color w:val="auto"/>
          <w:szCs w:val="21"/>
          <w:highlight w:val="none"/>
        </w:rPr>
      </w:pPr>
      <w:r>
        <w:rPr>
          <w:rFonts w:hint="eastAsia" w:ascii="宋体" w:hAnsi="宋体" w:cs="仿宋"/>
          <w:b/>
          <w:color w:val="auto"/>
          <w:szCs w:val="21"/>
          <w:highlight w:val="none"/>
        </w:rPr>
        <w:t>与质疑事项相关的质疑请求</w:t>
      </w:r>
    </w:p>
    <w:p>
      <w:pPr>
        <w:adjustRightInd w:val="0"/>
        <w:snapToGrid w:val="0"/>
        <w:rPr>
          <w:rFonts w:ascii="宋体" w:hAnsi="宋体" w:cs="仿宋"/>
          <w:color w:val="auto"/>
          <w:szCs w:val="21"/>
          <w:highlight w:val="none"/>
          <w:u w:val="dotted"/>
        </w:rPr>
      </w:pPr>
      <w:r>
        <w:rPr>
          <w:rFonts w:hint="eastAsia" w:ascii="宋体" w:hAnsi="宋体" w:cs="仿宋"/>
          <w:color w:val="auto"/>
          <w:szCs w:val="21"/>
          <w:highlight w:val="none"/>
        </w:rPr>
        <w:t>请求：</w:t>
      </w:r>
      <w:r>
        <w:rPr>
          <w:rFonts w:hint="eastAsia" w:ascii="宋体" w:hAnsi="宋体" w:cs="仿宋"/>
          <w:color w:val="auto"/>
          <w:szCs w:val="21"/>
          <w:highlight w:val="none"/>
          <w:u w:val="dotted"/>
        </w:rPr>
        <w:t xml:space="preserve">                                               </w:t>
      </w:r>
    </w:p>
    <w:p>
      <w:pPr>
        <w:rPr>
          <w:rFonts w:ascii="宋体" w:hAnsi="宋体"/>
          <w:color w:val="auto"/>
          <w:szCs w:val="21"/>
          <w:highlight w:val="none"/>
        </w:rPr>
      </w:pPr>
    </w:p>
    <w:p>
      <w:pPr>
        <w:jc w:val="right"/>
        <w:rPr>
          <w:rFonts w:ascii="宋体" w:hAnsi="宋体"/>
          <w:color w:val="auto"/>
          <w:szCs w:val="21"/>
          <w:highlight w:val="none"/>
        </w:rPr>
      </w:pPr>
      <w:r>
        <w:rPr>
          <w:rFonts w:hint="eastAsia" w:ascii="宋体" w:hAnsi="宋体"/>
          <w:color w:val="auto"/>
          <w:szCs w:val="21"/>
          <w:highlight w:val="none"/>
        </w:rPr>
        <w:t>签字（签章）：</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r>
        <w:rPr>
          <w:rFonts w:hint="eastAsia" w:ascii="宋体" w:hAnsi="宋体"/>
          <w:color w:val="auto"/>
          <w:szCs w:val="21"/>
          <w:highlight w:val="none"/>
        </w:rPr>
        <w:t>公章：</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w:t>
      </w:r>
    </w:p>
    <w:p>
      <w:pPr>
        <w:jc w:val="right"/>
        <w:rPr>
          <w:rFonts w:ascii="宋体" w:hAnsi="宋体" w:cs="仿宋"/>
          <w:color w:val="auto"/>
          <w:szCs w:val="21"/>
          <w:highlight w:val="none"/>
          <w:u w:val="dotted"/>
        </w:rPr>
      </w:pPr>
      <w:r>
        <w:rPr>
          <w:rFonts w:hint="eastAsia" w:ascii="宋体" w:hAnsi="宋体"/>
          <w:color w:val="auto"/>
          <w:szCs w:val="21"/>
          <w:highlight w:val="none"/>
        </w:rPr>
        <w:t>日期：</w:t>
      </w:r>
      <w:r>
        <w:rPr>
          <w:rFonts w:hint="eastAsia" w:ascii="宋体" w:hAnsi="宋体" w:cs="仿宋"/>
          <w:color w:val="auto"/>
          <w:szCs w:val="21"/>
          <w:highlight w:val="none"/>
          <w:u w:val="dotted"/>
        </w:rPr>
        <w:t xml:space="preserve">     </w:t>
      </w:r>
      <w:r>
        <w:rPr>
          <w:rFonts w:hint="eastAsia" w:ascii="宋体" w:hAnsi="宋体"/>
          <w:color w:val="auto"/>
          <w:szCs w:val="21"/>
          <w:highlight w:val="none"/>
        </w:rPr>
        <w:t>年</w:t>
      </w:r>
      <w:r>
        <w:rPr>
          <w:rFonts w:hint="eastAsia" w:ascii="宋体" w:hAnsi="宋体" w:cs="仿宋"/>
          <w:color w:val="auto"/>
          <w:szCs w:val="21"/>
          <w:highlight w:val="none"/>
          <w:u w:val="dotted"/>
        </w:rPr>
        <w:t xml:space="preserve">     </w:t>
      </w:r>
      <w:r>
        <w:rPr>
          <w:rFonts w:hint="eastAsia" w:ascii="宋体" w:hAnsi="宋体"/>
          <w:color w:val="auto"/>
          <w:szCs w:val="21"/>
          <w:highlight w:val="none"/>
        </w:rPr>
        <w:t>月</w:t>
      </w:r>
      <w:r>
        <w:rPr>
          <w:rFonts w:hint="eastAsia" w:ascii="宋体" w:hAnsi="宋体" w:cs="仿宋"/>
          <w:color w:val="auto"/>
          <w:szCs w:val="21"/>
          <w:highlight w:val="none"/>
          <w:u w:val="dotted"/>
        </w:rPr>
        <w:t xml:space="preserve">     </w:t>
      </w:r>
      <w:r>
        <w:rPr>
          <w:rFonts w:hint="eastAsia" w:ascii="宋体" w:hAnsi="宋体"/>
          <w:color w:val="auto"/>
          <w:szCs w:val="21"/>
          <w:highlight w:val="none"/>
        </w:rPr>
        <w:t>日</w:t>
      </w:r>
    </w:p>
    <w:p>
      <w:pPr>
        <w:pStyle w:val="45"/>
        <w:rPr>
          <w:rFonts w:ascii="宋体" w:hAnsi="宋体"/>
          <w:color w:val="auto"/>
          <w:highlight w:val="none"/>
        </w:rPr>
      </w:pPr>
    </w:p>
    <w:p>
      <w:pPr>
        <w:spacing w:line="300" w:lineRule="exact"/>
        <w:rPr>
          <w:rFonts w:ascii="宋体" w:hAnsi="宋体"/>
          <w:color w:val="auto"/>
          <w:szCs w:val="21"/>
          <w:highlight w:val="none"/>
        </w:rPr>
      </w:pPr>
      <w:r>
        <w:rPr>
          <w:rFonts w:hint="eastAsia" w:ascii="宋体" w:hAnsi="宋体"/>
          <w:color w:val="auto"/>
          <w:szCs w:val="21"/>
          <w:highlight w:val="none"/>
        </w:rPr>
        <w:t>质疑函制作说明：</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供应商提出质疑时，应提交质疑函和必要的证明材料。</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质疑供应商若委托代理人进行质疑的，质疑函应按要求列明</w:t>
      </w:r>
      <w:r>
        <w:rPr>
          <w:rFonts w:ascii="宋体" w:hAnsi="宋体"/>
          <w:color w:val="auto"/>
          <w:szCs w:val="21"/>
          <w:highlight w:val="none"/>
        </w:rPr>
        <w:t>“</w:t>
      </w:r>
      <w:r>
        <w:rPr>
          <w:rFonts w:hint="eastAsia" w:ascii="宋体" w:hAnsi="宋体"/>
          <w:color w:val="auto"/>
          <w:szCs w:val="21"/>
          <w:highlight w:val="none"/>
        </w:rPr>
        <w:t>授权代表</w:t>
      </w:r>
      <w:r>
        <w:rPr>
          <w:rFonts w:ascii="宋体" w:hAnsi="宋体"/>
          <w:color w:val="auto"/>
          <w:szCs w:val="21"/>
          <w:highlight w:val="none"/>
        </w:rPr>
        <w:t>”</w:t>
      </w:r>
      <w:r>
        <w:rPr>
          <w:rFonts w:hint="eastAsia" w:ascii="宋体" w:hAnsi="宋体"/>
          <w:color w:val="auto"/>
          <w:szCs w:val="21"/>
          <w:highlight w:val="none"/>
        </w:rPr>
        <w:t>的有关内容，并在附件中提交由质疑供应商签署的授权委托书。授权委托书应载明代理人的姓名或者名称、代理事项、具体权限、期限和相关事项。</w:t>
      </w:r>
      <w:r>
        <w:rPr>
          <w:rFonts w:ascii="宋体" w:hAnsi="宋体"/>
          <w:color w:val="auto"/>
          <w:szCs w:val="21"/>
          <w:highlight w:val="none"/>
        </w:rPr>
        <w:t xml:space="preserve"> </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质疑供应商若对项目的某一分包进行质疑，质疑函中应列明具体分包号。</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质疑函的质疑事项应具体、明确，并有必要的事实依据和法律依据。</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5.</w:t>
      </w:r>
      <w:r>
        <w:rPr>
          <w:rFonts w:hint="eastAsia" w:ascii="宋体" w:hAnsi="宋体"/>
          <w:color w:val="auto"/>
          <w:szCs w:val="21"/>
          <w:highlight w:val="none"/>
        </w:rPr>
        <w:t>质疑函的质疑请求应与质疑事项相关。</w:t>
      </w:r>
    </w:p>
    <w:p>
      <w:pPr>
        <w:spacing w:line="240" w:lineRule="auto"/>
        <w:ind w:firstLine="420" w:firstLineChars="200"/>
        <w:rPr>
          <w:rFonts w:ascii="宋体" w:hAnsi="宋体"/>
          <w:color w:val="auto"/>
          <w:szCs w:val="21"/>
          <w:highlight w:val="none"/>
        </w:rPr>
      </w:pPr>
      <w:r>
        <w:rPr>
          <w:rFonts w:ascii="宋体" w:hAnsi="宋体"/>
          <w:color w:val="auto"/>
          <w:szCs w:val="21"/>
          <w:highlight w:val="none"/>
        </w:rPr>
        <w:t>6.</w:t>
      </w:r>
      <w:r>
        <w:rPr>
          <w:rFonts w:hint="eastAsia" w:ascii="宋体" w:hAnsi="宋体"/>
          <w:color w:val="auto"/>
          <w:szCs w:val="21"/>
          <w:highlight w:val="none"/>
        </w:rPr>
        <w:t>质疑供应商为自然人的，质疑函应由本人签字；质疑供应商为法人或者其他组织的，质疑函应由法定代表人、主要负责人，或者其授权代表签字或者盖章，并加盖公章。</w:t>
      </w:r>
    </w:p>
    <w:p>
      <w:pPr>
        <w:spacing w:line="240" w:lineRule="auto"/>
        <w:ind w:firstLine="420" w:firstLineChars="200"/>
        <w:rPr>
          <w:rFonts w:ascii="宋体" w:hAnsi="宋体"/>
          <w:color w:val="auto"/>
          <w:szCs w:val="21"/>
          <w:highlight w:val="none"/>
        </w:rPr>
      </w:pPr>
      <w:bookmarkStart w:id="209" w:name="_Hlk104040558"/>
      <w:r>
        <w:rPr>
          <w:rFonts w:ascii="宋体" w:hAnsi="宋体"/>
          <w:color w:val="auto"/>
          <w:szCs w:val="21"/>
          <w:highlight w:val="none"/>
        </w:rPr>
        <w:t xml:space="preserve">7. </w:t>
      </w:r>
      <w:r>
        <w:rPr>
          <w:rFonts w:hint="eastAsia" w:ascii="宋体" w:hAnsi="宋体"/>
          <w:color w:val="auto"/>
          <w:szCs w:val="21"/>
          <w:highlight w:val="none"/>
        </w:rPr>
        <w:t>供应商应在提交的证明材料中对质疑点的内容作出相应的标识或以醒目的方式标明。</w:t>
      </w:r>
    </w:p>
    <w:bookmarkEnd w:id="209"/>
    <w:p>
      <w:pPr>
        <w:rPr>
          <w:rFonts w:ascii="宋体" w:hAnsi="宋体"/>
          <w:b/>
          <w:bCs/>
          <w:color w:val="auto"/>
          <w:sz w:val="24"/>
          <w:highlight w:val="none"/>
        </w:rPr>
      </w:pPr>
      <w:r>
        <w:rPr>
          <w:rFonts w:ascii="宋体" w:hAnsi="宋体"/>
          <w:b/>
          <w:bCs/>
          <w:color w:val="auto"/>
          <w:sz w:val="24"/>
          <w:highlight w:val="none"/>
        </w:rPr>
        <w:br w:type="page"/>
      </w:r>
    </w:p>
    <w:p>
      <w:pPr>
        <w:jc w:val="center"/>
        <w:rPr>
          <w:rFonts w:ascii="宋体" w:hAnsi="宋体"/>
          <w:b/>
          <w:bCs/>
          <w:color w:val="auto"/>
          <w:sz w:val="28"/>
          <w:szCs w:val="28"/>
          <w:highlight w:val="none"/>
        </w:rPr>
      </w:pPr>
      <w:r>
        <w:rPr>
          <w:rFonts w:hint="eastAsia" w:ascii="宋体" w:hAnsi="宋体"/>
          <w:b/>
          <w:bCs/>
          <w:color w:val="auto"/>
          <w:sz w:val="28"/>
          <w:szCs w:val="28"/>
          <w:highlight w:val="none"/>
        </w:rPr>
        <w:t>投诉书</w:t>
      </w:r>
    </w:p>
    <w:p>
      <w:pPr>
        <w:pStyle w:val="2"/>
        <w:numPr>
          <w:ilvl w:val="2"/>
          <w:numId w:val="29"/>
        </w:numPr>
        <w:ind w:left="0" w:firstLine="0"/>
        <w:rPr>
          <w:rFonts w:ascii="宋体" w:hAnsi="宋体"/>
          <w:b/>
          <w:bCs/>
          <w:color w:val="auto"/>
          <w:szCs w:val="20"/>
          <w:highlight w:val="none"/>
        </w:rPr>
      </w:pPr>
      <w:r>
        <w:rPr>
          <w:rFonts w:hint="eastAsia" w:ascii="宋体" w:hAnsi="宋体"/>
          <w:b/>
          <w:bCs/>
          <w:color w:val="auto"/>
          <w:szCs w:val="20"/>
          <w:highlight w:val="none"/>
        </w:rPr>
        <w:t>投诉相关主体基本情况</w:t>
      </w:r>
    </w:p>
    <w:p>
      <w:pPr>
        <w:pStyle w:val="2"/>
        <w:rPr>
          <w:rFonts w:ascii="宋体" w:hAnsi="宋体"/>
          <w:color w:val="auto"/>
          <w:szCs w:val="20"/>
          <w:highlight w:val="none"/>
        </w:rPr>
      </w:pPr>
      <w:r>
        <w:rPr>
          <w:rFonts w:hint="eastAsia" w:ascii="宋体" w:hAnsi="宋体"/>
          <w:color w:val="auto"/>
          <w:szCs w:val="20"/>
          <w:highlight w:val="none"/>
        </w:rPr>
        <w:t>投诉人：</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地 址：</w:t>
      </w:r>
      <w:r>
        <w:rPr>
          <w:rFonts w:hint="eastAsia" w:ascii="宋体" w:hAnsi="宋体" w:cs="仿宋"/>
          <w:color w:val="auto"/>
          <w:szCs w:val="21"/>
          <w:highlight w:val="none"/>
          <w:u w:val="dotted"/>
        </w:rPr>
        <w:t xml:space="preserve">                 </w:t>
      </w:r>
      <w:r>
        <w:rPr>
          <w:rFonts w:hint="eastAsia" w:ascii="宋体" w:hAnsi="宋体"/>
          <w:color w:val="auto"/>
          <w:szCs w:val="20"/>
          <w:highlight w:val="none"/>
        </w:rPr>
        <w:t>邮编：</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法定代表人/主要负责人：</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联系电话：</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授权代表：</w:t>
      </w:r>
      <w:r>
        <w:rPr>
          <w:rFonts w:hint="eastAsia" w:ascii="宋体" w:hAnsi="宋体" w:cs="仿宋"/>
          <w:color w:val="auto"/>
          <w:szCs w:val="21"/>
          <w:highlight w:val="none"/>
          <w:u w:val="dotted"/>
        </w:rPr>
        <w:t xml:space="preserve">                 </w:t>
      </w:r>
      <w:r>
        <w:rPr>
          <w:rFonts w:hint="eastAsia" w:ascii="宋体" w:hAnsi="宋体"/>
          <w:color w:val="auto"/>
          <w:szCs w:val="20"/>
          <w:highlight w:val="none"/>
        </w:rPr>
        <w:t>联系电话：</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地址：</w:t>
      </w:r>
      <w:r>
        <w:rPr>
          <w:rFonts w:hint="eastAsia" w:ascii="宋体" w:hAnsi="宋体" w:cs="仿宋"/>
          <w:color w:val="auto"/>
          <w:szCs w:val="21"/>
          <w:highlight w:val="none"/>
          <w:u w:val="dotted"/>
        </w:rPr>
        <w:t xml:space="preserve">                 </w:t>
      </w:r>
      <w:r>
        <w:rPr>
          <w:rFonts w:hint="eastAsia" w:ascii="宋体" w:hAnsi="宋体"/>
          <w:color w:val="auto"/>
          <w:szCs w:val="20"/>
          <w:highlight w:val="none"/>
        </w:rPr>
        <w:t>邮编：</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被投诉人1：</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地址：</w:t>
      </w:r>
      <w:r>
        <w:rPr>
          <w:rFonts w:hint="eastAsia" w:ascii="宋体" w:hAnsi="宋体" w:cs="仿宋"/>
          <w:color w:val="auto"/>
          <w:szCs w:val="21"/>
          <w:highlight w:val="none"/>
          <w:u w:val="dotted"/>
        </w:rPr>
        <w:t xml:space="preserve">                 </w:t>
      </w:r>
      <w:r>
        <w:rPr>
          <w:rFonts w:hint="eastAsia" w:ascii="宋体" w:hAnsi="宋体"/>
          <w:color w:val="auto"/>
          <w:szCs w:val="20"/>
          <w:highlight w:val="none"/>
        </w:rPr>
        <w:t>邮编：</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联系人：</w:t>
      </w:r>
      <w:r>
        <w:rPr>
          <w:rFonts w:hint="eastAsia" w:ascii="宋体" w:hAnsi="宋体" w:cs="仿宋"/>
          <w:color w:val="auto"/>
          <w:szCs w:val="21"/>
          <w:highlight w:val="none"/>
          <w:u w:val="dotted"/>
        </w:rPr>
        <w:t xml:space="preserve">                 </w:t>
      </w:r>
      <w:r>
        <w:rPr>
          <w:rFonts w:hint="eastAsia" w:ascii="宋体" w:hAnsi="宋体"/>
          <w:color w:val="auto"/>
          <w:szCs w:val="20"/>
          <w:highlight w:val="none"/>
        </w:rPr>
        <w:t>联系电话：</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被投诉人2：</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w:t>
      </w:r>
    </w:p>
    <w:p>
      <w:pPr>
        <w:pStyle w:val="2"/>
        <w:rPr>
          <w:rFonts w:ascii="宋体" w:hAnsi="宋体"/>
          <w:color w:val="auto"/>
          <w:szCs w:val="20"/>
          <w:highlight w:val="none"/>
        </w:rPr>
      </w:pPr>
      <w:r>
        <w:rPr>
          <w:rFonts w:hint="eastAsia" w:ascii="宋体" w:hAnsi="宋体"/>
          <w:color w:val="auto"/>
          <w:szCs w:val="20"/>
          <w:highlight w:val="none"/>
        </w:rPr>
        <w:t>相关供应商：</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地址：</w:t>
      </w:r>
      <w:r>
        <w:rPr>
          <w:rFonts w:hint="eastAsia" w:ascii="宋体" w:hAnsi="宋体" w:cs="仿宋"/>
          <w:color w:val="auto"/>
          <w:szCs w:val="21"/>
          <w:highlight w:val="none"/>
          <w:u w:val="dotted"/>
        </w:rPr>
        <w:t xml:space="preserve">                 </w:t>
      </w:r>
      <w:r>
        <w:rPr>
          <w:rFonts w:hint="eastAsia" w:ascii="宋体" w:hAnsi="宋体"/>
          <w:color w:val="auto"/>
          <w:szCs w:val="20"/>
          <w:highlight w:val="none"/>
        </w:rPr>
        <w:t>邮编：</w:t>
      </w:r>
      <w:r>
        <w:rPr>
          <w:rFonts w:hint="eastAsia" w:ascii="宋体" w:hAnsi="宋体" w:cs="仿宋"/>
          <w:color w:val="auto"/>
          <w:szCs w:val="21"/>
          <w:highlight w:val="none"/>
          <w:u w:val="dotted"/>
        </w:rPr>
        <w:t xml:space="preserve">                 </w:t>
      </w:r>
    </w:p>
    <w:p>
      <w:pPr>
        <w:pStyle w:val="2"/>
        <w:rPr>
          <w:rFonts w:ascii="宋体" w:hAnsi="宋体" w:cs="仿宋"/>
          <w:color w:val="auto"/>
          <w:szCs w:val="21"/>
          <w:highlight w:val="none"/>
          <w:u w:val="dotted"/>
        </w:rPr>
      </w:pPr>
      <w:r>
        <w:rPr>
          <w:rFonts w:hint="eastAsia" w:ascii="宋体" w:hAnsi="宋体"/>
          <w:color w:val="auto"/>
          <w:szCs w:val="20"/>
          <w:highlight w:val="none"/>
        </w:rPr>
        <w:t>联系人：</w:t>
      </w:r>
      <w:r>
        <w:rPr>
          <w:rFonts w:hint="eastAsia" w:ascii="宋体" w:hAnsi="宋体" w:cs="仿宋"/>
          <w:color w:val="auto"/>
          <w:szCs w:val="21"/>
          <w:highlight w:val="none"/>
          <w:u w:val="dotted"/>
        </w:rPr>
        <w:t xml:space="preserve">                 </w:t>
      </w:r>
      <w:r>
        <w:rPr>
          <w:rFonts w:hint="eastAsia" w:ascii="宋体" w:hAnsi="宋体"/>
          <w:color w:val="auto"/>
          <w:szCs w:val="20"/>
          <w:highlight w:val="none"/>
        </w:rPr>
        <w:t>联系电话：</w:t>
      </w:r>
      <w:r>
        <w:rPr>
          <w:rFonts w:hint="eastAsia" w:ascii="宋体" w:hAnsi="宋体" w:cs="仿宋"/>
          <w:color w:val="auto"/>
          <w:szCs w:val="21"/>
          <w:highlight w:val="none"/>
          <w:u w:val="dotted"/>
        </w:rPr>
        <w:t xml:space="preserve">                 </w:t>
      </w:r>
    </w:p>
    <w:p>
      <w:pPr>
        <w:pStyle w:val="2"/>
        <w:numPr>
          <w:ilvl w:val="2"/>
          <w:numId w:val="29"/>
        </w:numPr>
        <w:ind w:left="0" w:firstLine="0"/>
        <w:rPr>
          <w:rFonts w:ascii="宋体" w:hAnsi="宋体"/>
          <w:b/>
          <w:bCs/>
          <w:color w:val="auto"/>
          <w:szCs w:val="20"/>
          <w:highlight w:val="none"/>
        </w:rPr>
      </w:pPr>
      <w:r>
        <w:rPr>
          <w:rFonts w:hint="eastAsia" w:ascii="宋体" w:hAnsi="宋体"/>
          <w:b/>
          <w:bCs/>
          <w:color w:val="auto"/>
          <w:szCs w:val="20"/>
          <w:highlight w:val="none"/>
        </w:rPr>
        <w:t>投诉项目基本情况</w:t>
      </w:r>
    </w:p>
    <w:p>
      <w:pPr>
        <w:pStyle w:val="2"/>
        <w:rPr>
          <w:rFonts w:ascii="宋体" w:hAnsi="宋体"/>
          <w:color w:val="auto"/>
          <w:szCs w:val="20"/>
          <w:highlight w:val="none"/>
        </w:rPr>
      </w:pPr>
      <w:r>
        <w:rPr>
          <w:rFonts w:hint="eastAsia" w:ascii="宋体" w:hAnsi="宋体"/>
          <w:color w:val="auto"/>
          <w:szCs w:val="20"/>
          <w:highlight w:val="none"/>
        </w:rPr>
        <w:t>采购项目名称：</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采购项目编号：</w:t>
      </w:r>
      <w:r>
        <w:rPr>
          <w:rFonts w:hint="eastAsia" w:ascii="宋体" w:hAnsi="宋体" w:cs="仿宋"/>
          <w:color w:val="auto"/>
          <w:szCs w:val="21"/>
          <w:highlight w:val="none"/>
          <w:u w:val="dotted"/>
        </w:rPr>
        <w:t xml:space="preserve">                 </w:t>
      </w:r>
      <w:r>
        <w:rPr>
          <w:rFonts w:hint="eastAsia" w:ascii="宋体" w:hAnsi="宋体"/>
          <w:color w:val="auto"/>
          <w:szCs w:val="20"/>
          <w:highlight w:val="none"/>
        </w:rPr>
        <w:t>包号：</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采购人名称：</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代理机构名称：</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采购文件公告：</w:t>
      </w:r>
      <w:r>
        <w:rPr>
          <w:rFonts w:hint="eastAsia" w:ascii="宋体" w:hAnsi="宋体"/>
          <w:color w:val="auto"/>
          <w:szCs w:val="20"/>
          <w:highlight w:val="none"/>
          <w:u w:val="single"/>
        </w:rPr>
        <w:t>是/否</w:t>
      </w:r>
      <w:r>
        <w:rPr>
          <w:rFonts w:hint="eastAsia" w:ascii="宋体" w:hAnsi="宋体"/>
          <w:color w:val="auto"/>
          <w:szCs w:val="20"/>
          <w:highlight w:val="none"/>
        </w:rPr>
        <w:t xml:space="preserve"> 公告期限：</w:t>
      </w:r>
      <w:r>
        <w:rPr>
          <w:rFonts w:hint="eastAsia" w:ascii="宋体" w:hAnsi="宋体" w:cs="仿宋"/>
          <w:color w:val="auto"/>
          <w:szCs w:val="21"/>
          <w:highlight w:val="none"/>
          <w:u w:val="dotted"/>
        </w:rPr>
        <w:t xml:space="preserve">                 </w:t>
      </w:r>
    </w:p>
    <w:p>
      <w:pPr>
        <w:pStyle w:val="2"/>
        <w:rPr>
          <w:rFonts w:ascii="宋体" w:hAnsi="宋体" w:cs="仿宋"/>
          <w:color w:val="auto"/>
          <w:szCs w:val="21"/>
          <w:highlight w:val="none"/>
          <w:u w:val="dotted"/>
        </w:rPr>
      </w:pPr>
      <w:r>
        <w:rPr>
          <w:rFonts w:hint="eastAsia" w:ascii="宋体" w:hAnsi="宋体"/>
          <w:color w:val="auto"/>
          <w:szCs w:val="20"/>
          <w:highlight w:val="none"/>
        </w:rPr>
        <w:t>采购结果公告：</w:t>
      </w:r>
      <w:r>
        <w:rPr>
          <w:rFonts w:hint="eastAsia" w:ascii="宋体" w:hAnsi="宋体"/>
          <w:color w:val="auto"/>
          <w:szCs w:val="20"/>
          <w:highlight w:val="none"/>
          <w:u w:val="single"/>
        </w:rPr>
        <w:t>是/否</w:t>
      </w:r>
      <w:r>
        <w:rPr>
          <w:rFonts w:hint="eastAsia" w:ascii="宋体" w:hAnsi="宋体"/>
          <w:color w:val="auto"/>
          <w:szCs w:val="20"/>
          <w:highlight w:val="none"/>
        </w:rPr>
        <w:t xml:space="preserve"> 公告期限：</w:t>
      </w:r>
      <w:r>
        <w:rPr>
          <w:rFonts w:hint="eastAsia" w:ascii="宋体" w:hAnsi="宋体" w:cs="仿宋"/>
          <w:color w:val="auto"/>
          <w:szCs w:val="21"/>
          <w:highlight w:val="none"/>
          <w:u w:val="dotted"/>
        </w:rPr>
        <w:t xml:space="preserve">                 </w:t>
      </w:r>
    </w:p>
    <w:p>
      <w:pPr>
        <w:pStyle w:val="2"/>
        <w:numPr>
          <w:ilvl w:val="2"/>
          <w:numId w:val="29"/>
        </w:numPr>
        <w:ind w:left="0" w:firstLine="0"/>
        <w:rPr>
          <w:rFonts w:ascii="宋体" w:hAnsi="宋体"/>
          <w:b/>
          <w:bCs/>
          <w:color w:val="auto"/>
          <w:szCs w:val="20"/>
          <w:highlight w:val="none"/>
        </w:rPr>
      </w:pPr>
      <w:r>
        <w:rPr>
          <w:rFonts w:hint="eastAsia" w:ascii="宋体" w:hAnsi="宋体"/>
          <w:b/>
          <w:bCs/>
          <w:color w:val="auto"/>
          <w:szCs w:val="20"/>
          <w:highlight w:val="none"/>
        </w:rPr>
        <w:t>质疑基本情况</w:t>
      </w:r>
    </w:p>
    <w:p>
      <w:pPr>
        <w:pStyle w:val="2"/>
        <w:ind w:firstLine="420" w:firstLineChars="200"/>
        <w:rPr>
          <w:rFonts w:ascii="宋体" w:hAnsi="宋体"/>
          <w:color w:val="auto"/>
          <w:szCs w:val="20"/>
          <w:highlight w:val="none"/>
        </w:rPr>
      </w:pPr>
      <w:r>
        <w:rPr>
          <w:rFonts w:hint="eastAsia" w:ascii="宋体" w:hAnsi="宋体"/>
          <w:color w:val="auto"/>
          <w:szCs w:val="20"/>
          <w:highlight w:val="none"/>
        </w:rPr>
        <w:t>投诉人于 ____年____月____日,向提出质疑，质疑事项为：</w:t>
      </w:r>
      <w:r>
        <w:rPr>
          <w:rFonts w:hint="eastAsia" w:ascii="宋体" w:hAnsi="宋体" w:cs="仿宋"/>
          <w:color w:val="auto"/>
          <w:szCs w:val="21"/>
          <w:highlight w:val="none"/>
          <w:u w:val="dotted"/>
        </w:rPr>
        <w:t xml:space="preserve">                 </w:t>
      </w:r>
    </w:p>
    <w:p>
      <w:pPr>
        <w:pStyle w:val="2"/>
        <w:ind w:firstLine="420" w:firstLineChars="200"/>
        <w:rPr>
          <w:rFonts w:ascii="宋体" w:hAnsi="宋体"/>
          <w:color w:val="auto"/>
          <w:szCs w:val="20"/>
          <w:highlight w:val="none"/>
        </w:rPr>
      </w:pPr>
      <w:r>
        <w:rPr>
          <w:rFonts w:hint="eastAsia" w:ascii="宋体" w:hAnsi="宋体"/>
          <w:color w:val="auto"/>
          <w:szCs w:val="20"/>
          <w:highlight w:val="none"/>
          <w:u w:val="single"/>
        </w:rPr>
        <w:t xml:space="preserve"> </w:t>
      </w:r>
      <w:r>
        <w:rPr>
          <w:rFonts w:ascii="宋体" w:hAnsi="宋体"/>
          <w:color w:val="auto"/>
          <w:szCs w:val="20"/>
          <w:highlight w:val="none"/>
          <w:u w:val="single"/>
        </w:rPr>
        <w:t xml:space="preserve">   </w:t>
      </w:r>
      <w:r>
        <w:rPr>
          <w:rFonts w:hint="eastAsia" w:ascii="宋体" w:hAnsi="宋体"/>
          <w:color w:val="auto"/>
          <w:szCs w:val="20"/>
          <w:highlight w:val="none"/>
          <w:u w:val="single"/>
        </w:rPr>
        <w:t>采购人/代理机构</w:t>
      </w:r>
      <w:r>
        <w:rPr>
          <w:rFonts w:hint="eastAsia" w:ascii="宋体" w:hAnsi="宋体"/>
          <w:color w:val="auto"/>
          <w:szCs w:val="20"/>
          <w:highlight w:val="none"/>
        </w:rPr>
        <w:t>于____年____月____日,就质疑事项作出了答复/没有在法定期限内作出答复。</w:t>
      </w:r>
    </w:p>
    <w:p>
      <w:pPr>
        <w:pStyle w:val="2"/>
        <w:numPr>
          <w:ilvl w:val="2"/>
          <w:numId w:val="29"/>
        </w:numPr>
        <w:ind w:left="0" w:firstLine="0"/>
        <w:rPr>
          <w:rFonts w:ascii="宋体" w:hAnsi="宋体"/>
          <w:b/>
          <w:bCs/>
          <w:color w:val="auto"/>
          <w:szCs w:val="20"/>
          <w:highlight w:val="none"/>
        </w:rPr>
      </w:pPr>
      <w:r>
        <w:rPr>
          <w:rFonts w:hint="eastAsia" w:ascii="宋体" w:hAnsi="宋体"/>
          <w:b/>
          <w:bCs/>
          <w:color w:val="auto"/>
          <w:szCs w:val="20"/>
          <w:highlight w:val="none"/>
        </w:rPr>
        <w:t>投诉事项具体内容</w:t>
      </w:r>
    </w:p>
    <w:p>
      <w:pPr>
        <w:pStyle w:val="2"/>
        <w:rPr>
          <w:rFonts w:ascii="宋体" w:hAnsi="宋体"/>
          <w:color w:val="auto"/>
          <w:szCs w:val="20"/>
          <w:highlight w:val="none"/>
        </w:rPr>
      </w:pPr>
      <w:r>
        <w:rPr>
          <w:rFonts w:hint="eastAsia" w:ascii="宋体" w:hAnsi="宋体"/>
          <w:color w:val="auto"/>
          <w:szCs w:val="20"/>
          <w:highlight w:val="none"/>
        </w:rPr>
        <w:t>投诉事项 1：</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事实依据：</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法律依据：</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投诉事项2：</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r>
        <w:rPr>
          <w:rFonts w:hint="eastAsia" w:ascii="宋体" w:hAnsi="宋体"/>
          <w:color w:val="auto"/>
          <w:szCs w:val="20"/>
          <w:highlight w:val="none"/>
        </w:rPr>
        <w:t>……</w:t>
      </w:r>
    </w:p>
    <w:p>
      <w:pPr>
        <w:pStyle w:val="2"/>
        <w:numPr>
          <w:ilvl w:val="2"/>
          <w:numId w:val="29"/>
        </w:numPr>
        <w:ind w:left="0" w:firstLine="0"/>
        <w:rPr>
          <w:rFonts w:ascii="宋体" w:hAnsi="宋体"/>
          <w:b/>
          <w:bCs/>
          <w:color w:val="auto"/>
          <w:szCs w:val="20"/>
          <w:highlight w:val="none"/>
        </w:rPr>
      </w:pPr>
      <w:r>
        <w:rPr>
          <w:rFonts w:hint="eastAsia" w:ascii="宋体" w:hAnsi="宋体"/>
          <w:b/>
          <w:bCs/>
          <w:color w:val="auto"/>
          <w:szCs w:val="20"/>
          <w:highlight w:val="none"/>
        </w:rPr>
        <w:t>与投诉事项相关的投诉请求</w:t>
      </w:r>
    </w:p>
    <w:p>
      <w:pPr>
        <w:pStyle w:val="2"/>
        <w:rPr>
          <w:rFonts w:ascii="宋体" w:hAnsi="宋体"/>
          <w:color w:val="auto"/>
          <w:szCs w:val="20"/>
          <w:highlight w:val="none"/>
        </w:rPr>
      </w:pPr>
      <w:r>
        <w:rPr>
          <w:rFonts w:hint="eastAsia" w:ascii="宋体" w:hAnsi="宋体"/>
          <w:color w:val="auto"/>
          <w:szCs w:val="20"/>
          <w:highlight w:val="none"/>
        </w:rPr>
        <w:t>请求：</w:t>
      </w:r>
      <w:r>
        <w:rPr>
          <w:rFonts w:hint="eastAsia" w:ascii="宋体" w:hAnsi="宋体" w:cs="仿宋"/>
          <w:color w:val="auto"/>
          <w:szCs w:val="21"/>
          <w:highlight w:val="none"/>
          <w:u w:val="dotted"/>
        </w:rPr>
        <w:t xml:space="preserve">                 </w:t>
      </w:r>
    </w:p>
    <w:p>
      <w:pPr>
        <w:pStyle w:val="2"/>
        <w:rPr>
          <w:rFonts w:ascii="宋体" w:hAnsi="宋体"/>
          <w:color w:val="auto"/>
          <w:szCs w:val="20"/>
          <w:highlight w:val="none"/>
        </w:rPr>
      </w:pPr>
    </w:p>
    <w:p>
      <w:pPr>
        <w:jc w:val="right"/>
        <w:rPr>
          <w:rFonts w:ascii="宋体" w:hAnsi="宋体"/>
          <w:color w:val="auto"/>
          <w:szCs w:val="21"/>
          <w:highlight w:val="none"/>
        </w:rPr>
      </w:pPr>
      <w:r>
        <w:rPr>
          <w:rFonts w:hint="eastAsia" w:ascii="宋体" w:hAnsi="宋体"/>
          <w:color w:val="auto"/>
          <w:szCs w:val="21"/>
          <w:highlight w:val="none"/>
        </w:rPr>
        <w:t>签字（签章）：</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r>
        <w:rPr>
          <w:rFonts w:hint="eastAsia" w:ascii="宋体" w:hAnsi="宋体"/>
          <w:color w:val="auto"/>
          <w:szCs w:val="21"/>
          <w:highlight w:val="none"/>
        </w:rPr>
        <w:t>公章：</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 xml:space="preserve"> </w:t>
      </w:r>
      <w:r>
        <w:rPr>
          <w:rFonts w:hint="eastAsia" w:ascii="宋体" w:hAnsi="宋体" w:cs="仿宋"/>
          <w:color w:val="auto"/>
          <w:szCs w:val="21"/>
          <w:highlight w:val="none"/>
          <w:u w:val="dotted"/>
        </w:rPr>
        <w:t xml:space="preserve">   </w:t>
      </w:r>
      <w:r>
        <w:rPr>
          <w:rFonts w:ascii="宋体" w:hAnsi="宋体" w:cs="仿宋"/>
          <w:color w:val="auto"/>
          <w:szCs w:val="21"/>
          <w:highlight w:val="none"/>
          <w:u w:val="dotted"/>
        </w:rPr>
        <w:t>.</w:t>
      </w:r>
    </w:p>
    <w:p>
      <w:pPr>
        <w:pStyle w:val="2"/>
        <w:jc w:val="right"/>
        <w:rPr>
          <w:rFonts w:ascii="宋体" w:hAnsi="宋体"/>
          <w:color w:val="auto"/>
          <w:szCs w:val="20"/>
          <w:highlight w:val="none"/>
        </w:rPr>
      </w:pPr>
      <w:r>
        <w:rPr>
          <w:rFonts w:hint="eastAsia" w:ascii="宋体" w:hAnsi="宋体"/>
          <w:color w:val="auto"/>
          <w:szCs w:val="16"/>
          <w:highlight w:val="none"/>
        </w:rPr>
        <w:t>日期：</w:t>
      </w:r>
      <w:r>
        <w:rPr>
          <w:rFonts w:hint="eastAsia" w:ascii="宋体" w:hAnsi="宋体" w:cs="仿宋"/>
          <w:color w:val="auto"/>
          <w:szCs w:val="16"/>
          <w:highlight w:val="none"/>
          <w:u w:val="dotted"/>
        </w:rPr>
        <w:t xml:space="preserve">     </w:t>
      </w:r>
      <w:r>
        <w:rPr>
          <w:rFonts w:hint="eastAsia" w:ascii="宋体" w:hAnsi="宋体"/>
          <w:color w:val="auto"/>
          <w:szCs w:val="16"/>
          <w:highlight w:val="none"/>
        </w:rPr>
        <w:t>年</w:t>
      </w:r>
      <w:r>
        <w:rPr>
          <w:rFonts w:hint="eastAsia" w:ascii="宋体" w:hAnsi="宋体" w:cs="仿宋"/>
          <w:color w:val="auto"/>
          <w:szCs w:val="16"/>
          <w:highlight w:val="none"/>
          <w:u w:val="dotted"/>
        </w:rPr>
        <w:t xml:space="preserve">     </w:t>
      </w:r>
      <w:r>
        <w:rPr>
          <w:rFonts w:hint="eastAsia" w:ascii="宋体" w:hAnsi="宋体"/>
          <w:color w:val="auto"/>
          <w:szCs w:val="16"/>
          <w:highlight w:val="none"/>
        </w:rPr>
        <w:t>月</w:t>
      </w:r>
      <w:r>
        <w:rPr>
          <w:rFonts w:hint="eastAsia" w:ascii="宋体" w:hAnsi="宋体" w:cs="仿宋"/>
          <w:color w:val="auto"/>
          <w:szCs w:val="16"/>
          <w:highlight w:val="none"/>
          <w:u w:val="dotted"/>
        </w:rPr>
        <w:t xml:space="preserve">     </w:t>
      </w:r>
      <w:r>
        <w:rPr>
          <w:rFonts w:hint="eastAsia" w:ascii="宋体" w:hAnsi="宋体"/>
          <w:color w:val="auto"/>
          <w:szCs w:val="16"/>
          <w:highlight w:val="none"/>
        </w:rPr>
        <w:t>日</w:t>
      </w:r>
      <w:r>
        <w:rPr>
          <w:rFonts w:ascii="宋体" w:hAnsi="宋体"/>
          <w:color w:val="auto"/>
          <w:sz w:val="16"/>
          <w:szCs w:val="15"/>
          <w:highlight w:val="none"/>
        </w:rPr>
        <w:cr/>
      </w:r>
    </w:p>
    <w:p>
      <w:pPr>
        <w:pStyle w:val="2"/>
        <w:rPr>
          <w:rFonts w:ascii="宋体" w:hAnsi="宋体"/>
          <w:color w:val="auto"/>
          <w:szCs w:val="20"/>
          <w:highlight w:val="none"/>
        </w:rPr>
      </w:pPr>
      <w:r>
        <w:rPr>
          <w:rFonts w:hint="eastAsia" w:ascii="宋体" w:hAnsi="宋体"/>
          <w:color w:val="auto"/>
          <w:szCs w:val="20"/>
          <w:highlight w:val="none"/>
        </w:rPr>
        <w:t>投诉书制作说明：</w:t>
      </w:r>
    </w:p>
    <w:p>
      <w:pPr>
        <w:pStyle w:val="2"/>
        <w:ind w:firstLine="420" w:firstLineChars="200"/>
        <w:rPr>
          <w:rFonts w:ascii="宋体" w:hAnsi="宋体"/>
          <w:color w:val="auto"/>
          <w:szCs w:val="20"/>
          <w:highlight w:val="none"/>
        </w:rPr>
      </w:pPr>
      <w:r>
        <w:rPr>
          <w:rFonts w:hint="eastAsia" w:ascii="宋体" w:hAnsi="宋体"/>
          <w:color w:val="auto"/>
          <w:szCs w:val="20"/>
          <w:highlight w:val="none"/>
        </w:rPr>
        <w:t>1.投诉人提起投诉时，应当提交投诉书和必要的证明材料，并按照被投诉人和与投诉事项有关的供应商数量提供投诉书副本。</w:t>
      </w:r>
    </w:p>
    <w:p>
      <w:pPr>
        <w:pStyle w:val="2"/>
        <w:ind w:firstLine="420" w:firstLineChars="200"/>
        <w:rPr>
          <w:rFonts w:ascii="宋体" w:hAnsi="宋体"/>
          <w:color w:val="auto"/>
          <w:szCs w:val="20"/>
          <w:highlight w:val="none"/>
        </w:rPr>
      </w:pPr>
      <w:r>
        <w:rPr>
          <w:rFonts w:hint="eastAsia" w:ascii="宋体" w:hAnsi="宋体"/>
          <w:color w:val="auto"/>
          <w:szCs w:val="20"/>
          <w:highlight w:val="none"/>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2"/>
        <w:ind w:firstLine="420" w:firstLineChars="200"/>
        <w:rPr>
          <w:rFonts w:ascii="宋体" w:hAnsi="宋体"/>
          <w:color w:val="auto"/>
          <w:szCs w:val="20"/>
          <w:highlight w:val="none"/>
        </w:rPr>
      </w:pPr>
      <w:r>
        <w:rPr>
          <w:rFonts w:hint="eastAsia" w:ascii="宋体" w:hAnsi="宋体"/>
          <w:color w:val="auto"/>
          <w:szCs w:val="20"/>
          <w:highlight w:val="none"/>
        </w:rPr>
        <w:t>3.投诉人若对项目的某一分包进行投诉，投诉书应列明具体分包号。</w:t>
      </w:r>
    </w:p>
    <w:p>
      <w:pPr>
        <w:pStyle w:val="2"/>
        <w:ind w:firstLine="420" w:firstLineChars="200"/>
        <w:rPr>
          <w:rFonts w:ascii="宋体" w:hAnsi="宋体"/>
          <w:color w:val="auto"/>
          <w:szCs w:val="20"/>
          <w:highlight w:val="none"/>
        </w:rPr>
      </w:pPr>
      <w:r>
        <w:rPr>
          <w:rFonts w:hint="eastAsia" w:ascii="宋体" w:hAnsi="宋体"/>
          <w:color w:val="auto"/>
          <w:szCs w:val="20"/>
          <w:highlight w:val="none"/>
        </w:rPr>
        <w:t>4.投诉书应简要列明质疑事项，质疑函、质疑答复等作为附件材料提供。</w:t>
      </w:r>
    </w:p>
    <w:p>
      <w:pPr>
        <w:pStyle w:val="2"/>
        <w:ind w:firstLine="420" w:firstLineChars="200"/>
        <w:rPr>
          <w:rFonts w:ascii="宋体" w:hAnsi="宋体"/>
          <w:color w:val="auto"/>
          <w:szCs w:val="20"/>
          <w:highlight w:val="none"/>
        </w:rPr>
      </w:pPr>
      <w:r>
        <w:rPr>
          <w:rFonts w:hint="eastAsia" w:ascii="宋体" w:hAnsi="宋体"/>
          <w:color w:val="auto"/>
          <w:szCs w:val="20"/>
          <w:highlight w:val="none"/>
        </w:rPr>
        <w:t>5.投诉书的投诉事项应具体、明确，并有必要的事实依据和法律依据。</w:t>
      </w:r>
    </w:p>
    <w:p>
      <w:pPr>
        <w:pStyle w:val="2"/>
        <w:ind w:firstLine="420" w:firstLineChars="200"/>
        <w:rPr>
          <w:rFonts w:ascii="宋体" w:hAnsi="宋体"/>
          <w:color w:val="auto"/>
          <w:szCs w:val="20"/>
          <w:highlight w:val="none"/>
        </w:rPr>
      </w:pPr>
      <w:r>
        <w:rPr>
          <w:rFonts w:hint="eastAsia" w:ascii="宋体" w:hAnsi="宋体"/>
          <w:color w:val="auto"/>
          <w:szCs w:val="20"/>
          <w:highlight w:val="none"/>
        </w:rPr>
        <w:t>6.投诉书的投诉请求应与投诉事项相关。</w:t>
      </w:r>
    </w:p>
    <w:p>
      <w:pPr>
        <w:pStyle w:val="2"/>
        <w:ind w:firstLine="420" w:firstLineChars="200"/>
        <w:rPr>
          <w:rFonts w:ascii="宋体" w:hAnsi="宋体"/>
          <w:color w:val="auto"/>
          <w:szCs w:val="20"/>
          <w:highlight w:val="none"/>
        </w:rPr>
      </w:pPr>
      <w:r>
        <w:rPr>
          <w:rFonts w:hint="eastAsia" w:ascii="宋体" w:hAnsi="宋体"/>
          <w:color w:val="auto"/>
          <w:szCs w:val="20"/>
          <w:highlight w:val="none"/>
        </w:rPr>
        <w:t>7.投诉人为自然人的，投诉书应当由本人签字；投诉人为法人或者其他组织的，投诉书应当由法定代表人、主要负责人，或者其授权代表签字或者盖章，并加盖公章。</w:t>
      </w:r>
      <w:r>
        <w:rPr>
          <w:rFonts w:ascii="宋体" w:hAnsi="宋体"/>
          <w:color w:val="auto"/>
          <w:szCs w:val="20"/>
          <w:highlight w:val="none"/>
        </w:rPr>
        <w:cr/>
      </w:r>
      <w:bookmarkEnd w:id="207"/>
    </w:p>
    <w:sectPr>
      <w:headerReference r:id="rId5" w:type="default"/>
      <w:footerReference r:id="rId6" w:type="default"/>
      <w:pgSz w:w="11906" w:h="16838"/>
      <w:pgMar w:top="1418" w:right="1440" w:bottom="1418" w:left="1440" w:header="567" w:footer="992" w:gutter="0"/>
      <w:paperSrc w:first="7"/>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SimSun-Identity-H">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roman"/>
    <w:pitch w:val="default"/>
    <w:sig w:usb0="FFFFFFFF" w:usb1="E9FFFFFF" w:usb2="0000003F" w:usb3="00000000" w:csb0="603F01FF" w:csb1="FFFF0000"/>
  </w:font>
  <w:font w:name="@文鼎CS中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体">
    <w:altName w:val="仿宋"/>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Futura-Heavy">
    <w:altName w:val="Courier New"/>
    <w:panose1 w:val="00000000000000000000"/>
    <w:charset w:val="00"/>
    <w:family w:val="swiss"/>
    <w:pitch w:val="default"/>
    <w:sig w:usb0="00000000" w:usb1="00000000" w:usb2="00000000" w:usb3="00000000" w:csb0="000001FB" w:csb1="00000000"/>
  </w:font>
  <w:font w:name="Helvetica">
    <w:panose1 w:val="020B0504020202030204"/>
    <w:charset w:val="00"/>
    <w:family w:val="swiss"/>
    <w:pitch w:val="default"/>
    <w:sig w:usb0="00000007" w:usb1="00000000" w:usb2="00000000" w:usb3="00000000" w:csb0="00000093" w:csb1="00000000"/>
  </w:font>
  <w:font w:name="@黑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1233993"/>
    </w:sdtPr>
    <w:sdtEndPr>
      <w:rPr>
        <w:rFonts w:ascii="宋体" w:hAnsi="宋体" w:eastAsia="宋体"/>
        <w:sz w:val="21"/>
        <w:szCs w:val="21"/>
      </w:rPr>
    </w:sdtEndPr>
    <w:sdtContent>
      <w:p>
        <w:pPr>
          <w:pStyle w:val="29"/>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64</w:t>
        </w:r>
        <w:r>
          <w:rPr>
            <w:rFonts w:ascii="宋体" w:hAnsi="宋体" w:eastAsia="宋体"/>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left"/>
    </w:pPr>
    <w:r>
      <w:rPr>
        <w:rFonts w:ascii="宋体" w:hAnsi="宋体"/>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11E7DF"/>
    <w:multiLevelType w:val="singleLevel"/>
    <w:tmpl w:val="9711E7DF"/>
    <w:lvl w:ilvl="0" w:tentative="0">
      <w:start w:val="2"/>
      <w:numFmt w:val="chineseCounting"/>
      <w:suff w:val="nothing"/>
      <w:lvlText w:val="%1、"/>
      <w:lvlJc w:val="left"/>
      <w:rPr>
        <w:rFonts w:hint="eastAsia"/>
      </w:rPr>
    </w:lvl>
  </w:abstractNum>
  <w:abstractNum w:abstractNumId="1">
    <w:nsid w:val="F8AE4174"/>
    <w:multiLevelType w:val="singleLevel"/>
    <w:tmpl w:val="F8AE4174"/>
    <w:lvl w:ilvl="0" w:tentative="0">
      <w:start w:val="1"/>
      <w:numFmt w:val="decimal"/>
      <w:suff w:val="nothing"/>
      <w:lvlText w:val="%1．"/>
      <w:lvlJc w:val="left"/>
      <w:pPr>
        <w:ind w:left="0" w:firstLine="400"/>
      </w:pPr>
      <w:rPr>
        <w:rFonts w:hint="default"/>
      </w:rPr>
    </w:lvl>
  </w:abstractNum>
  <w:abstractNum w:abstractNumId="2">
    <w:nsid w:val="00000005"/>
    <w:multiLevelType w:val="multilevel"/>
    <w:tmpl w:val="00000005"/>
    <w:lvl w:ilvl="0" w:tentative="0">
      <w:start w:val="1"/>
      <w:numFmt w:val="decimal"/>
      <w:pStyle w:val="348"/>
      <w:lvlText w:val="%1、"/>
      <w:lvlJc w:val="left"/>
      <w:pPr>
        <w:tabs>
          <w:tab w:val="left" w:pos="360"/>
        </w:tabs>
        <w:ind w:left="360" w:hanging="360"/>
      </w:pPr>
      <w:rPr>
        <w:rFonts w:hint="eastAsia"/>
      </w:rPr>
    </w:lvl>
    <w:lvl w:ilvl="1" w:tentative="0">
      <w:start w:val="1"/>
      <w:numFmt w:val="decimal"/>
      <w:lvlText w:val="（%2）"/>
      <w:lvlJc w:val="left"/>
      <w:pPr>
        <w:tabs>
          <w:tab w:val="left" w:pos="1143"/>
        </w:tabs>
        <w:ind w:left="1143" w:hanging="720"/>
      </w:pPr>
      <w:rPr>
        <w:rFonts w:hint="eastAsia"/>
      </w:rPr>
    </w:lvl>
    <w:lvl w:ilvl="2" w:tentative="0">
      <w:start w:val="1"/>
      <w:numFmt w:val="decimal"/>
      <w:lvlText w:val="%3．"/>
      <w:lvlJc w:val="left"/>
      <w:pPr>
        <w:tabs>
          <w:tab w:val="left" w:pos="1203"/>
        </w:tabs>
        <w:ind w:left="1203" w:hanging="360"/>
      </w:pPr>
      <w:rPr>
        <w:rFonts w:hint="eastAsia"/>
      </w:r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3">
    <w:nsid w:val="04E8739A"/>
    <w:multiLevelType w:val="multilevel"/>
    <w:tmpl w:val="04E8739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C4576C5"/>
    <w:multiLevelType w:val="multilevel"/>
    <w:tmpl w:val="0C4576C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F057019"/>
    <w:multiLevelType w:val="multilevel"/>
    <w:tmpl w:val="0F057019"/>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210193F"/>
    <w:multiLevelType w:val="multilevel"/>
    <w:tmpl w:val="1210193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2312063"/>
    <w:multiLevelType w:val="multilevel"/>
    <w:tmpl w:val="12312063"/>
    <w:lvl w:ilvl="0" w:tentative="0">
      <w:start w:val="1"/>
      <w:numFmt w:val="decimal"/>
      <w:lvlText w:val="%1."/>
      <w:lvlJc w:val="left"/>
      <w:pPr>
        <w:ind w:left="84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133C0F05"/>
    <w:multiLevelType w:val="multilevel"/>
    <w:tmpl w:val="133C0F0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6D568E3"/>
    <w:multiLevelType w:val="multilevel"/>
    <w:tmpl w:val="26D568E3"/>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4130422"/>
    <w:multiLevelType w:val="multilevel"/>
    <w:tmpl w:val="34130422"/>
    <w:lvl w:ilvl="0" w:tentative="0">
      <w:start w:val="2"/>
      <w:numFmt w:val="decimal"/>
      <w:suff w:val="nothing"/>
      <w:lvlText w:val="（%1）"/>
      <w:lvlJc w:val="left"/>
      <w:pPr>
        <w:ind w:left="4815" w:hanging="420"/>
      </w:pPr>
      <w:rPr>
        <w:rFonts w:hint="eastAsia"/>
        <w:color w:val="auto"/>
      </w:rPr>
    </w:lvl>
    <w:lvl w:ilvl="1" w:tentative="0">
      <w:start w:val="1"/>
      <w:numFmt w:val="lowerLetter"/>
      <w:lvlText w:val="%2)"/>
      <w:lvlJc w:val="left"/>
      <w:pPr>
        <w:ind w:left="1122" w:hanging="420"/>
      </w:pPr>
      <w:rPr>
        <w:rFonts w:hint="eastAsia"/>
      </w:rPr>
    </w:lvl>
    <w:lvl w:ilvl="2" w:tentative="0">
      <w:start w:val="1"/>
      <w:numFmt w:val="lowerRoman"/>
      <w:lvlText w:val="%3."/>
      <w:lvlJc w:val="right"/>
      <w:pPr>
        <w:ind w:left="1542" w:hanging="420"/>
      </w:pPr>
      <w:rPr>
        <w:rFonts w:hint="eastAsia"/>
      </w:rPr>
    </w:lvl>
    <w:lvl w:ilvl="3" w:tentative="0">
      <w:start w:val="1"/>
      <w:numFmt w:val="decimal"/>
      <w:lvlText w:val="%4."/>
      <w:lvlJc w:val="left"/>
      <w:pPr>
        <w:ind w:left="1962" w:hanging="420"/>
      </w:pPr>
      <w:rPr>
        <w:rFonts w:hint="eastAsia"/>
      </w:rPr>
    </w:lvl>
    <w:lvl w:ilvl="4" w:tentative="0">
      <w:start w:val="1"/>
      <w:numFmt w:val="lowerLetter"/>
      <w:lvlText w:val="%5)"/>
      <w:lvlJc w:val="left"/>
      <w:pPr>
        <w:ind w:left="2382" w:hanging="420"/>
      </w:pPr>
      <w:rPr>
        <w:rFonts w:hint="eastAsia"/>
      </w:rPr>
    </w:lvl>
    <w:lvl w:ilvl="5" w:tentative="0">
      <w:start w:val="1"/>
      <w:numFmt w:val="lowerRoman"/>
      <w:lvlText w:val="%6."/>
      <w:lvlJc w:val="right"/>
      <w:pPr>
        <w:ind w:left="2802" w:hanging="420"/>
      </w:pPr>
      <w:rPr>
        <w:rFonts w:hint="eastAsia"/>
      </w:rPr>
    </w:lvl>
    <w:lvl w:ilvl="6" w:tentative="0">
      <w:start w:val="1"/>
      <w:numFmt w:val="decimal"/>
      <w:lvlText w:val="%7."/>
      <w:lvlJc w:val="left"/>
      <w:pPr>
        <w:ind w:left="3222" w:hanging="420"/>
      </w:pPr>
      <w:rPr>
        <w:rFonts w:hint="eastAsia"/>
      </w:rPr>
    </w:lvl>
    <w:lvl w:ilvl="7" w:tentative="0">
      <w:start w:val="1"/>
      <w:numFmt w:val="lowerLetter"/>
      <w:lvlText w:val="%8)"/>
      <w:lvlJc w:val="left"/>
      <w:pPr>
        <w:ind w:left="3642" w:hanging="420"/>
      </w:pPr>
      <w:rPr>
        <w:rFonts w:hint="eastAsia"/>
      </w:rPr>
    </w:lvl>
    <w:lvl w:ilvl="8" w:tentative="0">
      <w:start w:val="1"/>
      <w:numFmt w:val="lowerRoman"/>
      <w:lvlText w:val="%9."/>
      <w:lvlJc w:val="right"/>
      <w:pPr>
        <w:ind w:left="4062" w:hanging="420"/>
      </w:pPr>
      <w:rPr>
        <w:rFonts w:hint="eastAsia"/>
      </w:rPr>
    </w:lvl>
  </w:abstractNum>
  <w:abstractNum w:abstractNumId="11">
    <w:nsid w:val="37E05937"/>
    <w:multiLevelType w:val="multilevel"/>
    <w:tmpl w:val="37E0593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4693881"/>
    <w:multiLevelType w:val="multilevel"/>
    <w:tmpl w:val="44693881"/>
    <w:lvl w:ilvl="0" w:tentative="0">
      <w:start w:val="1"/>
      <w:numFmt w:val="decimal"/>
      <w:suff w:val="nothing"/>
      <w:lvlText w:val="（%1）"/>
      <w:lvlJc w:val="left"/>
      <w:pPr>
        <w:ind w:left="840" w:hanging="420"/>
      </w:pPr>
      <w:rPr>
        <w:rFonts w:hint="default"/>
        <w:color w:val="auto"/>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13">
    <w:nsid w:val="4692520B"/>
    <w:multiLevelType w:val="singleLevel"/>
    <w:tmpl w:val="4692520B"/>
    <w:lvl w:ilvl="0" w:tentative="0">
      <w:start w:val="6"/>
      <w:numFmt w:val="decimal"/>
      <w:suff w:val="nothing"/>
      <w:lvlText w:val="%1、"/>
      <w:lvlJc w:val="left"/>
    </w:lvl>
  </w:abstractNum>
  <w:abstractNum w:abstractNumId="14">
    <w:nsid w:val="4E333E9D"/>
    <w:multiLevelType w:val="multilevel"/>
    <w:tmpl w:val="4E333E9D"/>
    <w:lvl w:ilvl="0" w:tentative="0">
      <w:start w:val="1"/>
      <w:numFmt w:val="decimal"/>
      <w:lvlText w:val="%1."/>
      <w:lvlJc w:val="left"/>
      <w:pPr>
        <w:tabs>
          <w:tab w:val="left" w:pos="425"/>
        </w:tabs>
        <w:ind w:left="425" w:hanging="425"/>
      </w:pPr>
      <w:rPr>
        <w:rFonts w:hint="default" w:ascii="宋体" w:hAnsi="宋体" w:eastAsia="宋体"/>
        <w:b/>
        <w:color w:val="auto"/>
      </w:rPr>
    </w:lvl>
    <w:lvl w:ilvl="1" w:tentative="0">
      <w:start w:val="1"/>
      <w:numFmt w:val="decimal"/>
      <w:lvlRestart w:val="0"/>
      <w:lvlText w:val="2.5.3.%2"/>
      <w:lvlJc w:val="left"/>
      <w:pPr>
        <w:tabs>
          <w:tab w:val="left" w:pos="567"/>
        </w:tabs>
        <w:ind w:left="567" w:hanging="567"/>
      </w:pPr>
      <w:rPr>
        <w:rFonts w:hint="default"/>
        <w:b w:val="0"/>
      </w:rPr>
    </w:lvl>
    <w:lvl w:ilvl="2" w:tentative="0">
      <w:start w:val="1"/>
      <w:numFmt w:val="decimal"/>
      <w:lvlText w:val="7.4.%3."/>
      <w:lvlJc w:val="left"/>
      <w:pPr>
        <w:tabs>
          <w:tab w:val="left" w:pos="709"/>
        </w:tabs>
        <w:ind w:left="709" w:hanging="709"/>
      </w:pPr>
      <w:rPr>
        <w:rFonts w:hint="default" w:ascii="宋体" w:hAnsi="宋体" w:eastAsia="宋体"/>
      </w:rPr>
    </w:lvl>
    <w:lvl w:ilvl="3" w:tentative="0">
      <w:start w:val="1"/>
      <w:numFmt w:val="decimal"/>
      <w:lvlText w:val="5.2.3.%4."/>
      <w:lvlJc w:val="left"/>
      <w:pPr>
        <w:tabs>
          <w:tab w:val="left" w:pos="850"/>
        </w:tabs>
        <w:ind w:left="850" w:hanging="850"/>
      </w:pPr>
      <w:rPr>
        <w:rFonts w:hint="default"/>
        <w:b w:val="0"/>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15">
    <w:nsid w:val="5A5410B6"/>
    <w:multiLevelType w:val="singleLevel"/>
    <w:tmpl w:val="5A5410B6"/>
    <w:lvl w:ilvl="0" w:tentative="0">
      <w:start w:val="1"/>
      <w:numFmt w:val="decimal"/>
      <w:pStyle w:val="184"/>
      <w:suff w:val="space"/>
      <w:lvlText w:val="%1)"/>
      <w:lvlJc w:val="left"/>
    </w:lvl>
  </w:abstractNum>
  <w:abstractNum w:abstractNumId="16">
    <w:nsid w:val="5A5422B0"/>
    <w:multiLevelType w:val="singleLevel"/>
    <w:tmpl w:val="5A5422B0"/>
    <w:lvl w:ilvl="0" w:tentative="0">
      <w:start w:val="1"/>
      <w:numFmt w:val="decimal"/>
      <w:suff w:val="space"/>
      <w:lvlText w:val="%1)"/>
      <w:lvlJc w:val="left"/>
    </w:lvl>
  </w:abstractNum>
  <w:abstractNum w:abstractNumId="17">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8">
    <w:nsid w:val="5C421F5D"/>
    <w:multiLevelType w:val="multilevel"/>
    <w:tmpl w:val="5C421F5D"/>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5FCF38D8"/>
    <w:multiLevelType w:val="singleLevel"/>
    <w:tmpl w:val="5FCF38D8"/>
    <w:lvl w:ilvl="0" w:tentative="0">
      <w:start w:val="2"/>
      <w:numFmt w:val="decimal"/>
      <w:lvlText w:val="%1."/>
      <w:lvlJc w:val="left"/>
      <w:pPr>
        <w:tabs>
          <w:tab w:val="left" w:pos="312"/>
        </w:tabs>
      </w:pPr>
    </w:lvl>
  </w:abstractNum>
  <w:abstractNum w:abstractNumId="20">
    <w:nsid w:val="60CD9398"/>
    <w:multiLevelType w:val="singleLevel"/>
    <w:tmpl w:val="60CD9398"/>
    <w:lvl w:ilvl="0" w:tentative="0">
      <w:start w:val="6"/>
      <w:numFmt w:val="chineseCounting"/>
      <w:suff w:val="nothing"/>
      <w:lvlText w:val="（%1）"/>
      <w:lvlJc w:val="left"/>
      <w:rPr>
        <w:rFonts w:hint="eastAsia"/>
      </w:rPr>
    </w:lvl>
  </w:abstractNum>
  <w:abstractNum w:abstractNumId="21">
    <w:nsid w:val="666F7FCA"/>
    <w:multiLevelType w:val="multilevel"/>
    <w:tmpl w:val="666F7FCA"/>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69E301D2"/>
    <w:multiLevelType w:val="multilevel"/>
    <w:tmpl w:val="69E301D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D203057"/>
    <w:multiLevelType w:val="multilevel"/>
    <w:tmpl w:val="6D20305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6D300ACB"/>
    <w:multiLevelType w:val="multilevel"/>
    <w:tmpl w:val="6D300ACB"/>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japaneseCounting"/>
      <w:lvlText w:val="%3、"/>
      <w:lvlJc w:val="left"/>
      <w:pPr>
        <w:ind w:left="1290" w:hanging="45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745C42E1"/>
    <w:multiLevelType w:val="multilevel"/>
    <w:tmpl w:val="745C42E1"/>
    <w:lvl w:ilvl="0" w:tentative="0">
      <w:start w:val="1"/>
      <w:numFmt w:val="chineseCountingThousand"/>
      <w:lvlText w:val="格式%1："/>
      <w:lvlJc w:val="left"/>
      <w:pPr>
        <w:ind w:left="420" w:hanging="420"/>
      </w:pPr>
      <w:rPr>
        <w:rFonts w:hint="eastAsia"/>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77D90384"/>
    <w:multiLevelType w:val="multilevel"/>
    <w:tmpl w:val="77D90384"/>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7AC8134B"/>
    <w:multiLevelType w:val="multilevel"/>
    <w:tmpl w:val="7AC8134B"/>
    <w:lvl w:ilvl="0" w:tentative="0">
      <w:start w:val="1"/>
      <w:numFmt w:val="decimal"/>
      <w:lvlText w:val="%1."/>
      <w:lvlJc w:val="left"/>
      <w:pPr>
        <w:tabs>
          <w:tab w:val="left" w:pos="425"/>
        </w:tabs>
        <w:ind w:left="425" w:hanging="425"/>
      </w:pPr>
      <w:rPr>
        <w:rFonts w:hint="default" w:ascii="宋体" w:hAnsi="宋体" w:eastAsia="宋体"/>
        <w:b w:val="0"/>
        <w:color w:val="auto"/>
      </w:rPr>
    </w:lvl>
    <w:lvl w:ilvl="1" w:tentative="0">
      <w:start w:val="1"/>
      <w:numFmt w:val="decimal"/>
      <w:lvlRestart w:val="0"/>
      <w:lvlText w:val="2.5.3.%2"/>
      <w:lvlJc w:val="left"/>
      <w:pPr>
        <w:tabs>
          <w:tab w:val="left" w:pos="567"/>
        </w:tabs>
        <w:ind w:left="567" w:hanging="567"/>
      </w:pPr>
      <w:rPr>
        <w:rFonts w:hint="default"/>
        <w:b w:val="0"/>
      </w:rPr>
    </w:lvl>
    <w:lvl w:ilvl="2" w:tentative="0">
      <w:start w:val="1"/>
      <w:numFmt w:val="decimal"/>
      <w:lvlText w:val="7.4.%3."/>
      <w:lvlJc w:val="left"/>
      <w:pPr>
        <w:tabs>
          <w:tab w:val="left" w:pos="709"/>
        </w:tabs>
        <w:ind w:left="709" w:hanging="709"/>
      </w:pPr>
      <w:rPr>
        <w:rFonts w:hint="default" w:ascii="宋体" w:hAnsi="宋体" w:eastAsia="宋体"/>
      </w:rPr>
    </w:lvl>
    <w:lvl w:ilvl="3" w:tentative="0">
      <w:start w:val="1"/>
      <w:numFmt w:val="decimal"/>
      <w:lvlText w:val="5.2.3.%4."/>
      <w:lvlJc w:val="left"/>
      <w:pPr>
        <w:tabs>
          <w:tab w:val="left" w:pos="850"/>
        </w:tabs>
        <w:ind w:left="850" w:hanging="850"/>
      </w:pPr>
      <w:rPr>
        <w:rFonts w:hint="default"/>
        <w:b w:val="0"/>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28">
    <w:nsid w:val="7AF15434"/>
    <w:multiLevelType w:val="multilevel"/>
    <w:tmpl w:val="7AF1543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5"/>
  </w:num>
  <w:num w:numId="2">
    <w:abstractNumId w:val="16"/>
  </w:num>
  <w:num w:numId="3">
    <w:abstractNumId w:val="2"/>
  </w:num>
  <w:num w:numId="4">
    <w:abstractNumId w:val="17"/>
  </w:num>
  <w:num w:numId="5">
    <w:abstractNumId w:val="3"/>
  </w:num>
  <w:num w:numId="6">
    <w:abstractNumId w:val="12"/>
  </w:num>
  <w:num w:numId="7">
    <w:abstractNumId w:val="19"/>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27"/>
  </w:num>
  <w:num w:numId="11">
    <w:abstractNumId w:val="14"/>
  </w:num>
  <w:num w:numId="12">
    <w:abstractNumId w:val="13"/>
  </w:num>
  <w:num w:numId="13">
    <w:abstractNumId w:val="20"/>
  </w:num>
  <w:num w:numId="14">
    <w:abstractNumId w:val="1"/>
  </w:num>
  <w:num w:numId="15">
    <w:abstractNumId w:val="21"/>
  </w:num>
  <w:num w:numId="16">
    <w:abstractNumId w:val="28"/>
  </w:num>
  <w:num w:numId="17">
    <w:abstractNumId w:val="4"/>
  </w:num>
  <w:num w:numId="18">
    <w:abstractNumId w:val="5"/>
  </w:num>
  <w:num w:numId="19">
    <w:abstractNumId w:val="23"/>
  </w:num>
  <w:num w:numId="20">
    <w:abstractNumId w:val="26"/>
  </w:num>
  <w:num w:numId="21">
    <w:abstractNumId w:val="24"/>
  </w:num>
  <w:num w:numId="22">
    <w:abstractNumId w:val="8"/>
  </w:num>
  <w:num w:numId="23">
    <w:abstractNumId w:val="7"/>
  </w:num>
  <w:num w:numId="24">
    <w:abstractNumId w:val="6"/>
  </w:num>
  <w:num w:numId="25">
    <w:abstractNumId w:val="18"/>
  </w:num>
  <w:num w:numId="26">
    <w:abstractNumId w:val="9"/>
  </w:num>
  <w:num w:numId="27">
    <w:abstractNumId w:val="25"/>
  </w:num>
  <w:num w:numId="28">
    <w:abstractNumId w:val="22"/>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50"/>
  <w:drawingGridHorizontalSpacing w:val="0"/>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M2RjOTU4MjZkZTI3YmY5MzFlYTNiMWNjYTA3YzgifQ=="/>
  </w:docVars>
  <w:rsids>
    <w:rsidRoot w:val="00172A27"/>
    <w:rsid w:val="00000DFC"/>
    <w:rsid w:val="00001299"/>
    <w:rsid w:val="000013E9"/>
    <w:rsid w:val="000014E0"/>
    <w:rsid w:val="00002E76"/>
    <w:rsid w:val="00002E8D"/>
    <w:rsid w:val="0000458A"/>
    <w:rsid w:val="000049CB"/>
    <w:rsid w:val="00005782"/>
    <w:rsid w:val="000062C0"/>
    <w:rsid w:val="000067C9"/>
    <w:rsid w:val="00006825"/>
    <w:rsid w:val="00006A9D"/>
    <w:rsid w:val="00006BE5"/>
    <w:rsid w:val="00010D87"/>
    <w:rsid w:val="00011353"/>
    <w:rsid w:val="00011415"/>
    <w:rsid w:val="000118F6"/>
    <w:rsid w:val="00011A79"/>
    <w:rsid w:val="00012202"/>
    <w:rsid w:val="00014487"/>
    <w:rsid w:val="00014747"/>
    <w:rsid w:val="0001495F"/>
    <w:rsid w:val="00015A31"/>
    <w:rsid w:val="00016569"/>
    <w:rsid w:val="00017A1F"/>
    <w:rsid w:val="00017E08"/>
    <w:rsid w:val="0002117B"/>
    <w:rsid w:val="000212B0"/>
    <w:rsid w:val="0002137D"/>
    <w:rsid w:val="00021F2F"/>
    <w:rsid w:val="00023420"/>
    <w:rsid w:val="00024146"/>
    <w:rsid w:val="00024375"/>
    <w:rsid w:val="00024B1B"/>
    <w:rsid w:val="00024BB3"/>
    <w:rsid w:val="00024CC4"/>
    <w:rsid w:val="00025171"/>
    <w:rsid w:val="000251E1"/>
    <w:rsid w:val="00025785"/>
    <w:rsid w:val="00025EF1"/>
    <w:rsid w:val="000261C9"/>
    <w:rsid w:val="00027182"/>
    <w:rsid w:val="00030A1C"/>
    <w:rsid w:val="00030D45"/>
    <w:rsid w:val="00030D4D"/>
    <w:rsid w:val="00030F86"/>
    <w:rsid w:val="000310FE"/>
    <w:rsid w:val="000311CD"/>
    <w:rsid w:val="000314DF"/>
    <w:rsid w:val="000317C3"/>
    <w:rsid w:val="0003189D"/>
    <w:rsid w:val="00031A00"/>
    <w:rsid w:val="0003271D"/>
    <w:rsid w:val="000329F6"/>
    <w:rsid w:val="00032D7B"/>
    <w:rsid w:val="00034C17"/>
    <w:rsid w:val="00034E6A"/>
    <w:rsid w:val="0003611C"/>
    <w:rsid w:val="000361B8"/>
    <w:rsid w:val="00036EB9"/>
    <w:rsid w:val="0004008F"/>
    <w:rsid w:val="00040531"/>
    <w:rsid w:val="00040CE9"/>
    <w:rsid w:val="00041F76"/>
    <w:rsid w:val="00043057"/>
    <w:rsid w:val="00043669"/>
    <w:rsid w:val="00043BF7"/>
    <w:rsid w:val="00044007"/>
    <w:rsid w:val="00044050"/>
    <w:rsid w:val="00044EA3"/>
    <w:rsid w:val="00045842"/>
    <w:rsid w:val="00046212"/>
    <w:rsid w:val="00046238"/>
    <w:rsid w:val="00046832"/>
    <w:rsid w:val="0004786C"/>
    <w:rsid w:val="000514CA"/>
    <w:rsid w:val="000515C4"/>
    <w:rsid w:val="000516CA"/>
    <w:rsid w:val="000523E0"/>
    <w:rsid w:val="000526CF"/>
    <w:rsid w:val="00053BB7"/>
    <w:rsid w:val="000542A7"/>
    <w:rsid w:val="000547C9"/>
    <w:rsid w:val="0005601C"/>
    <w:rsid w:val="00056379"/>
    <w:rsid w:val="0005678F"/>
    <w:rsid w:val="00057683"/>
    <w:rsid w:val="00057C25"/>
    <w:rsid w:val="000616F5"/>
    <w:rsid w:val="00061989"/>
    <w:rsid w:val="00062459"/>
    <w:rsid w:val="0006253D"/>
    <w:rsid w:val="0006262D"/>
    <w:rsid w:val="00062AE0"/>
    <w:rsid w:val="00062C84"/>
    <w:rsid w:val="00063F79"/>
    <w:rsid w:val="000650B6"/>
    <w:rsid w:val="00065688"/>
    <w:rsid w:val="00065E2F"/>
    <w:rsid w:val="00066475"/>
    <w:rsid w:val="00066997"/>
    <w:rsid w:val="00066C93"/>
    <w:rsid w:val="00066CBD"/>
    <w:rsid w:val="00066E7F"/>
    <w:rsid w:val="000675B7"/>
    <w:rsid w:val="00070803"/>
    <w:rsid w:val="00070C6A"/>
    <w:rsid w:val="00071193"/>
    <w:rsid w:val="000711C4"/>
    <w:rsid w:val="0007231D"/>
    <w:rsid w:val="00072BCE"/>
    <w:rsid w:val="000731F5"/>
    <w:rsid w:val="00073C1D"/>
    <w:rsid w:val="00074C41"/>
    <w:rsid w:val="00074E7B"/>
    <w:rsid w:val="00075121"/>
    <w:rsid w:val="00076E5F"/>
    <w:rsid w:val="000770F5"/>
    <w:rsid w:val="00077D51"/>
    <w:rsid w:val="00077EB9"/>
    <w:rsid w:val="00080CB0"/>
    <w:rsid w:val="00080DAE"/>
    <w:rsid w:val="00081520"/>
    <w:rsid w:val="00081655"/>
    <w:rsid w:val="00081972"/>
    <w:rsid w:val="00081CB1"/>
    <w:rsid w:val="00081CDB"/>
    <w:rsid w:val="00081FC3"/>
    <w:rsid w:val="00082FA6"/>
    <w:rsid w:val="00084790"/>
    <w:rsid w:val="0008531F"/>
    <w:rsid w:val="00085947"/>
    <w:rsid w:val="0008635E"/>
    <w:rsid w:val="00086A33"/>
    <w:rsid w:val="00087DB8"/>
    <w:rsid w:val="00087DE3"/>
    <w:rsid w:val="00090865"/>
    <w:rsid w:val="00090B77"/>
    <w:rsid w:val="000914E6"/>
    <w:rsid w:val="000916F7"/>
    <w:rsid w:val="00091A06"/>
    <w:rsid w:val="00091ABB"/>
    <w:rsid w:val="00091B0A"/>
    <w:rsid w:val="000921B9"/>
    <w:rsid w:val="000935CC"/>
    <w:rsid w:val="00093A9E"/>
    <w:rsid w:val="00093D6F"/>
    <w:rsid w:val="0009477C"/>
    <w:rsid w:val="000963AF"/>
    <w:rsid w:val="000965F8"/>
    <w:rsid w:val="000968A7"/>
    <w:rsid w:val="00096C3A"/>
    <w:rsid w:val="00096C8A"/>
    <w:rsid w:val="000972C0"/>
    <w:rsid w:val="00097A9C"/>
    <w:rsid w:val="00097C2A"/>
    <w:rsid w:val="000A0647"/>
    <w:rsid w:val="000A1D27"/>
    <w:rsid w:val="000A24C1"/>
    <w:rsid w:val="000A2C52"/>
    <w:rsid w:val="000A2D7C"/>
    <w:rsid w:val="000A4B7E"/>
    <w:rsid w:val="000A4C69"/>
    <w:rsid w:val="000A4D91"/>
    <w:rsid w:val="000A5185"/>
    <w:rsid w:val="000A5561"/>
    <w:rsid w:val="000A5607"/>
    <w:rsid w:val="000A6E1A"/>
    <w:rsid w:val="000B0280"/>
    <w:rsid w:val="000B0900"/>
    <w:rsid w:val="000B0E60"/>
    <w:rsid w:val="000B17A0"/>
    <w:rsid w:val="000B2335"/>
    <w:rsid w:val="000B2C61"/>
    <w:rsid w:val="000B2E22"/>
    <w:rsid w:val="000B3955"/>
    <w:rsid w:val="000B3CC6"/>
    <w:rsid w:val="000B42D3"/>
    <w:rsid w:val="000B4536"/>
    <w:rsid w:val="000B4976"/>
    <w:rsid w:val="000B525E"/>
    <w:rsid w:val="000B568A"/>
    <w:rsid w:val="000B599C"/>
    <w:rsid w:val="000B5B67"/>
    <w:rsid w:val="000B62D4"/>
    <w:rsid w:val="000B6305"/>
    <w:rsid w:val="000B6441"/>
    <w:rsid w:val="000B657B"/>
    <w:rsid w:val="000B67D8"/>
    <w:rsid w:val="000B68E0"/>
    <w:rsid w:val="000B7AB1"/>
    <w:rsid w:val="000B7DC9"/>
    <w:rsid w:val="000B7E65"/>
    <w:rsid w:val="000C000B"/>
    <w:rsid w:val="000C080E"/>
    <w:rsid w:val="000C0882"/>
    <w:rsid w:val="000C08EC"/>
    <w:rsid w:val="000C09F3"/>
    <w:rsid w:val="000C0E13"/>
    <w:rsid w:val="000C0E80"/>
    <w:rsid w:val="000C173C"/>
    <w:rsid w:val="000C1B44"/>
    <w:rsid w:val="000C2898"/>
    <w:rsid w:val="000C2CF5"/>
    <w:rsid w:val="000C33C4"/>
    <w:rsid w:val="000C373F"/>
    <w:rsid w:val="000C3917"/>
    <w:rsid w:val="000C3E4D"/>
    <w:rsid w:val="000C3F26"/>
    <w:rsid w:val="000C4802"/>
    <w:rsid w:val="000C4A44"/>
    <w:rsid w:val="000C4B63"/>
    <w:rsid w:val="000C4C06"/>
    <w:rsid w:val="000C4E00"/>
    <w:rsid w:val="000C56E2"/>
    <w:rsid w:val="000C57E5"/>
    <w:rsid w:val="000C5A60"/>
    <w:rsid w:val="000C5E46"/>
    <w:rsid w:val="000C618E"/>
    <w:rsid w:val="000C67FA"/>
    <w:rsid w:val="000C6921"/>
    <w:rsid w:val="000C70B9"/>
    <w:rsid w:val="000C76A5"/>
    <w:rsid w:val="000D0141"/>
    <w:rsid w:val="000D0DFA"/>
    <w:rsid w:val="000D2563"/>
    <w:rsid w:val="000D3152"/>
    <w:rsid w:val="000D32E4"/>
    <w:rsid w:val="000D37D7"/>
    <w:rsid w:val="000D3DE1"/>
    <w:rsid w:val="000D3E55"/>
    <w:rsid w:val="000D4D2C"/>
    <w:rsid w:val="000D5492"/>
    <w:rsid w:val="000D5C95"/>
    <w:rsid w:val="000D657A"/>
    <w:rsid w:val="000D6625"/>
    <w:rsid w:val="000D726F"/>
    <w:rsid w:val="000D7328"/>
    <w:rsid w:val="000D7B34"/>
    <w:rsid w:val="000D7D5D"/>
    <w:rsid w:val="000E131B"/>
    <w:rsid w:val="000E1422"/>
    <w:rsid w:val="000E1853"/>
    <w:rsid w:val="000E1926"/>
    <w:rsid w:val="000E1E79"/>
    <w:rsid w:val="000E208F"/>
    <w:rsid w:val="000E28EA"/>
    <w:rsid w:val="000E2BE4"/>
    <w:rsid w:val="000E3541"/>
    <w:rsid w:val="000E3697"/>
    <w:rsid w:val="000E3F00"/>
    <w:rsid w:val="000E4B71"/>
    <w:rsid w:val="000E4D99"/>
    <w:rsid w:val="000E5885"/>
    <w:rsid w:val="000E5B4E"/>
    <w:rsid w:val="000E5E95"/>
    <w:rsid w:val="000E6CBC"/>
    <w:rsid w:val="000E7149"/>
    <w:rsid w:val="000E7C3C"/>
    <w:rsid w:val="000E7CE1"/>
    <w:rsid w:val="000E7F94"/>
    <w:rsid w:val="000F0A27"/>
    <w:rsid w:val="000F0C8C"/>
    <w:rsid w:val="000F10F4"/>
    <w:rsid w:val="000F1CDA"/>
    <w:rsid w:val="000F1DB6"/>
    <w:rsid w:val="000F3035"/>
    <w:rsid w:val="000F3622"/>
    <w:rsid w:val="000F3FD3"/>
    <w:rsid w:val="000F48DB"/>
    <w:rsid w:val="000F4ECC"/>
    <w:rsid w:val="000F52D8"/>
    <w:rsid w:val="000F53C7"/>
    <w:rsid w:val="000F6823"/>
    <w:rsid w:val="000F76B5"/>
    <w:rsid w:val="001000C5"/>
    <w:rsid w:val="00100911"/>
    <w:rsid w:val="00100CEA"/>
    <w:rsid w:val="00101332"/>
    <w:rsid w:val="001015EC"/>
    <w:rsid w:val="001020E5"/>
    <w:rsid w:val="0010239E"/>
    <w:rsid w:val="00102768"/>
    <w:rsid w:val="00102F9A"/>
    <w:rsid w:val="00104419"/>
    <w:rsid w:val="001047CE"/>
    <w:rsid w:val="0010636C"/>
    <w:rsid w:val="001066A3"/>
    <w:rsid w:val="00106D93"/>
    <w:rsid w:val="00107907"/>
    <w:rsid w:val="00107EC5"/>
    <w:rsid w:val="00110592"/>
    <w:rsid w:val="001106E4"/>
    <w:rsid w:val="001108DD"/>
    <w:rsid w:val="00111610"/>
    <w:rsid w:val="001116C5"/>
    <w:rsid w:val="001118E8"/>
    <w:rsid w:val="00111E6D"/>
    <w:rsid w:val="0011203B"/>
    <w:rsid w:val="00112150"/>
    <w:rsid w:val="0011294C"/>
    <w:rsid w:val="001134E1"/>
    <w:rsid w:val="00113C4D"/>
    <w:rsid w:val="00113E73"/>
    <w:rsid w:val="00114630"/>
    <w:rsid w:val="00115A76"/>
    <w:rsid w:val="00115AC2"/>
    <w:rsid w:val="00116666"/>
    <w:rsid w:val="001176FE"/>
    <w:rsid w:val="00117C77"/>
    <w:rsid w:val="001207F1"/>
    <w:rsid w:val="00120989"/>
    <w:rsid w:val="001217C0"/>
    <w:rsid w:val="00121EA4"/>
    <w:rsid w:val="00122C52"/>
    <w:rsid w:val="00123F3C"/>
    <w:rsid w:val="00124563"/>
    <w:rsid w:val="00125200"/>
    <w:rsid w:val="0012631E"/>
    <w:rsid w:val="00126DFA"/>
    <w:rsid w:val="0012791F"/>
    <w:rsid w:val="00127B0A"/>
    <w:rsid w:val="00127B0C"/>
    <w:rsid w:val="00130980"/>
    <w:rsid w:val="0013103E"/>
    <w:rsid w:val="0013169E"/>
    <w:rsid w:val="00131873"/>
    <w:rsid w:val="0013199B"/>
    <w:rsid w:val="00131F68"/>
    <w:rsid w:val="00132558"/>
    <w:rsid w:val="00132D24"/>
    <w:rsid w:val="00133495"/>
    <w:rsid w:val="001334D9"/>
    <w:rsid w:val="00133A3A"/>
    <w:rsid w:val="00133FCC"/>
    <w:rsid w:val="001341F5"/>
    <w:rsid w:val="00134432"/>
    <w:rsid w:val="00134651"/>
    <w:rsid w:val="001348EA"/>
    <w:rsid w:val="0013564B"/>
    <w:rsid w:val="00136A0D"/>
    <w:rsid w:val="00136A61"/>
    <w:rsid w:val="00136AA0"/>
    <w:rsid w:val="00136DE9"/>
    <w:rsid w:val="00136DF7"/>
    <w:rsid w:val="001375C3"/>
    <w:rsid w:val="00140499"/>
    <w:rsid w:val="001407E5"/>
    <w:rsid w:val="00141FC8"/>
    <w:rsid w:val="001421D6"/>
    <w:rsid w:val="00142621"/>
    <w:rsid w:val="0014280C"/>
    <w:rsid w:val="00142B41"/>
    <w:rsid w:val="001432A1"/>
    <w:rsid w:val="0014393F"/>
    <w:rsid w:val="00143BF2"/>
    <w:rsid w:val="001452A6"/>
    <w:rsid w:val="00145D3E"/>
    <w:rsid w:val="00146063"/>
    <w:rsid w:val="00147137"/>
    <w:rsid w:val="0014722F"/>
    <w:rsid w:val="0014739F"/>
    <w:rsid w:val="00147508"/>
    <w:rsid w:val="00147FAC"/>
    <w:rsid w:val="00150920"/>
    <w:rsid w:val="00150C51"/>
    <w:rsid w:val="001516F6"/>
    <w:rsid w:val="001531DF"/>
    <w:rsid w:val="0015380E"/>
    <w:rsid w:val="0015479B"/>
    <w:rsid w:val="00155446"/>
    <w:rsid w:val="00155595"/>
    <w:rsid w:val="00156181"/>
    <w:rsid w:val="00156873"/>
    <w:rsid w:val="00161257"/>
    <w:rsid w:val="00161ACE"/>
    <w:rsid w:val="00162251"/>
    <w:rsid w:val="00162375"/>
    <w:rsid w:val="00162557"/>
    <w:rsid w:val="00162D90"/>
    <w:rsid w:val="0016486D"/>
    <w:rsid w:val="001648AD"/>
    <w:rsid w:val="001651FF"/>
    <w:rsid w:val="00165809"/>
    <w:rsid w:val="00166FC8"/>
    <w:rsid w:val="00167834"/>
    <w:rsid w:val="00167E88"/>
    <w:rsid w:val="00170F9A"/>
    <w:rsid w:val="00171130"/>
    <w:rsid w:val="0017116E"/>
    <w:rsid w:val="0017153A"/>
    <w:rsid w:val="0017155F"/>
    <w:rsid w:val="00171A10"/>
    <w:rsid w:val="00171C6E"/>
    <w:rsid w:val="00171EE3"/>
    <w:rsid w:val="0017249E"/>
    <w:rsid w:val="0017250E"/>
    <w:rsid w:val="001728B1"/>
    <w:rsid w:val="00172A27"/>
    <w:rsid w:val="00172A3D"/>
    <w:rsid w:val="00172BEA"/>
    <w:rsid w:val="00172D13"/>
    <w:rsid w:val="00172ED7"/>
    <w:rsid w:val="001730CF"/>
    <w:rsid w:val="001737B6"/>
    <w:rsid w:val="00173B14"/>
    <w:rsid w:val="0017651C"/>
    <w:rsid w:val="001767CC"/>
    <w:rsid w:val="00176EC1"/>
    <w:rsid w:val="00177B98"/>
    <w:rsid w:val="00177E75"/>
    <w:rsid w:val="001805DC"/>
    <w:rsid w:val="00181402"/>
    <w:rsid w:val="00181B65"/>
    <w:rsid w:val="0018293F"/>
    <w:rsid w:val="00183129"/>
    <w:rsid w:val="0018323B"/>
    <w:rsid w:val="00183317"/>
    <w:rsid w:val="00184A1B"/>
    <w:rsid w:val="00185D4F"/>
    <w:rsid w:val="0018607F"/>
    <w:rsid w:val="00186215"/>
    <w:rsid w:val="00186737"/>
    <w:rsid w:val="001869BE"/>
    <w:rsid w:val="00187141"/>
    <w:rsid w:val="00187B61"/>
    <w:rsid w:val="0019130F"/>
    <w:rsid w:val="00191C18"/>
    <w:rsid w:val="00191EF2"/>
    <w:rsid w:val="001920D2"/>
    <w:rsid w:val="0019244A"/>
    <w:rsid w:val="00192524"/>
    <w:rsid w:val="001926AD"/>
    <w:rsid w:val="001927EC"/>
    <w:rsid w:val="001933D5"/>
    <w:rsid w:val="001944E3"/>
    <w:rsid w:val="001947BE"/>
    <w:rsid w:val="001948B1"/>
    <w:rsid w:val="00195200"/>
    <w:rsid w:val="001963ED"/>
    <w:rsid w:val="00196844"/>
    <w:rsid w:val="0019719B"/>
    <w:rsid w:val="00197CA9"/>
    <w:rsid w:val="001A00C0"/>
    <w:rsid w:val="001A0FE4"/>
    <w:rsid w:val="001A0FF1"/>
    <w:rsid w:val="001A15C1"/>
    <w:rsid w:val="001A18C3"/>
    <w:rsid w:val="001A1E47"/>
    <w:rsid w:val="001A27D1"/>
    <w:rsid w:val="001A2A04"/>
    <w:rsid w:val="001A2AA1"/>
    <w:rsid w:val="001A4672"/>
    <w:rsid w:val="001A4821"/>
    <w:rsid w:val="001A58A3"/>
    <w:rsid w:val="001A6824"/>
    <w:rsid w:val="001A6B25"/>
    <w:rsid w:val="001A6F55"/>
    <w:rsid w:val="001A7C19"/>
    <w:rsid w:val="001A7D36"/>
    <w:rsid w:val="001B078D"/>
    <w:rsid w:val="001B086F"/>
    <w:rsid w:val="001B16DD"/>
    <w:rsid w:val="001B16F7"/>
    <w:rsid w:val="001B1EDF"/>
    <w:rsid w:val="001B24F2"/>
    <w:rsid w:val="001B2A67"/>
    <w:rsid w:val="001B2E0C"/>
    <w:rsid w:val="001B3125"/>
    <w:rsid w:val="001B341E"/>
    <w:rsid w:val="001B40EE"/>
    <w:rsid w:val="001B66F6"/>
    <w:rsid w:val="001B6FD5"/>
    <w:rsid w:val="001B706E"/>
    <w:rsid w:val="001B7AFC"/>
    <w:rsid w:val="001B7BC9"/>
    <w:rsid w:val="001B7C21"/>
    <w:rsid w:val="001C05B2"/>
    <w:rsid w:val="001C181A"/>
    <w:rsid w:val="001C2468"/>
    <w:rsid w:val="001C2864"/>
    <w:rsid w:val="001C378F"/>
    <w:rsid w:val="001C3A92"/>
    <w:rsid w:val="001C3B45"/>
    <w:rsid w:val="001C3D05"/>
    <w:rsid w:val="001C3D5B"/>
    <w:rsid w:val="001C4C75"/>
    <w:rsid w:val="001C536B"/>
    <w:rsid w:val="001C56AE"/>
    <w:rsid w:val="001C705C"/>
    <w:rsid w:val="001D0859"/>
    <w:rsid w:val="001D176D"/>
    <w:rsid w:val="001D1ED0"/>
    <w:rsid w:val="001D2637"/>
    <w:rsid w:val="001D2A67"/>
    <w:rsid w:val="001D2C12"/>
    <w:rsid w:val="001D3C53"/>
    <w:rsid w:val="001D3C58"/>
    <w:rsid w:val="001D4AEC"/>
    <w:rsid w:val="001D4D3B"/>
    <w:rsid w:val="001D4DCE"/>
    <w:rsid w:val="001D4E79"/>
    <w:rsid w:val="001D5347"/>
    <w:rsid w:val="001D547A"/>
    <w:rsid w:val="001D63EA"/>
    <w:rsid w:val="001D671C"/>
    <w:rsid w:val="001D79E3"/>
    <w:rsid w:val="001E0BCE"/>
    <w:rsid w:val="001E0C0D"/>
    <w:rsid w:val="001E1671"/>
    <w:rsid w:val="001E1819"/>
    <w:rsid w:val="001E1BF0"/>
    <w:rsid w:val="001E277B"/>
    <w:rsid w:val="001E293C"/>
    <w:rsid w:val="001E2C9F"/>
    <w:rsid w:val="001E41B9"/>
    <w:rsid w:val="001E41E3"/>
    <w:rsid w:val="001E4E28"/>
    <w:rsid w:val="001E6BCB"/>
    <w:rsid w:val="001E6BDE"/>
    <w:rsid w:val="001E72AF"/>
    <w:rsid w:val="001E7413"/>
    <w:rsid w:val="001E7A9A"/>
    <w:rsid w:val="001F07E3"/>
    <w:rsid w:val="001F12E2"/>
    <w:rsid w:val="001F1970"/>
    <w:rsid w:val="001F21E7"/>
    <w:rsid w:val="001F2AF0"/>
    <w:rsid w:val="001F2B14"/>
    <w:rsid w:val="001F2F8C"/>
    <w:rsid w:val="001F3479"/>
    <w:rsid w:val="001F385A"/>
    <w:rsid w:val="001F39FD"/>
    <w:rsid w:val="001F4EBF"/>
    <w:rsid w:val="001F503D"/>
    <w:rsid w:val="001F54C6"/>
    <w:rsid w:val="001F605D"/>
    <w:rsid w:val="001F71F7"/>
    <w:rsid w:val="00201680"/>
    <w:rsid w:val="00201791"/>
    <w:rsid w:val="0020276E"/>
    <w:rsid w:val="00202D37"/>
    <w:rsid w:val="0020420B"/>
    <w:rsid w:val="002042D9"/>
    <w:rsid w:val="00204780"/>
    <w:rsid w:val="0020484F"/>
    <w:rsid w:val="002048B9"/>
    <w:rsid w:val="00204910"/>
    <w:rsid w:val="00204AD8"/>
    <w:rsid w:val="00204F87"/>
    <w:rsid w:val="00205266"/>
    <w:rsid w:val="00205AA6"/>
    <w:rsid w:val="00205E5C"/>
    <w:rsid w:val="00206042"/>
    <w:rsid w:val="00206864"/>
    <w:rsid w:val="002070FE"/>
    <w:rsid w:val="00207774"/>
    <w:rsid w:val="0021054D"/>
    <w:rsid w:val="002107EF"/>
    <w:rsid w:val="002108CA"/>
    <w:rsid w:val="002118B7"/>
    <w:rsid w:val="00212B22"/>
    <w:rsid w:val="002137B9"/>
    <w:rsid w:val="00214285"/>
    <w:rsid w:val="002149C2"/>
    <w:rsid w:val="00214CE6"/>
    <w:rsid w:val="00214DD2"/>
    <w:rsid w:val="00214F90"/>
    <w:rsid w:val="00215378"/>
    <w:rsid w:val="00215702"/>
    <w:rsid w:val="00216A3B"/>
    <w:rsid w:val="00216F1A"/>
    <w:rsid w:val="00217896"/>
    <w:rsid w:val="00217ABB"/>
    <w:rsid w:val="00217C65"/>
    <w:rsid w:val="00220785"/>
    <w:rsid w:val="00220A59"/>
    <w:rsid w:val="00220B43"/>
    <w:rsid w:val="00221666"/>
    <w:rsid w:val="00221A01"/>
    <w:rsid w:val="00221AB0"/>
    <w:rsid w:val="00221B6E"/>
    <w:rsid w:val="00221FFB"/>
    <w:rsid w:val="00222358"/>
    <w:rsid w:val="002224CF"/>
    <w:rsid w:val="002225C3"/>
    <w:rsid w:val="002227B3"/>
    <w:rsid w:val="002228F0"/>
    <w:rsid w:val="00223649"/>
    <w:rsid w:val="002239DC"/>
    <w:rsid w:val="00224A65"/>
    <w:rsid w:val="00224B13"/>
    <w:rsid w:val="00224BE9"/>
    <w:rsid w:val="002256B7"/>
    <w:rsid w:val="002264A7"/>
    <w:rsid w:val="002278DD"/>
    <w:rsid w:val="00227BF7"/>
    <w:rsid w:val="00230074"/>
    <w:rsid w:val="00230FFD"/>
    <w:rsid w:val="00231021"/>
    <w:rsid w:val="00233133"/>
    <w:rsid w:val="00233322"/>
    <w:rsid w:val="00234083"/>
    <w:rsid w:val="00234CB7"/>
    <w:rsid w:val="00235715"/>
    <w:rsid w:val="00235941"/>
    <w:rsid w:val="00235944"/>
    <w:rsid w:val="00235A6F"/>
    <w:rsid w:val="002365BA"/>
    <w:rsid w:val="00236A36"/>
    <w:rsid w:val="00236AC5"/>
    <w:rsid w:val="00236F21"/>
    <w:rsid w:val="00237008"/>
    <w:rsid w:val="00237501"/>
    <w:rsid w:val="002400C6"/>
    <w:rsid w:val="002402C0"/>
    <w:rsid w:val="00240457"/>
    <w:rsid w:val="00240EF4"/>
    <w:rsid w:val="00241290"/>
    <w:rsid w:val="002417D9"/>
    <w:rsid w:val="00241BDE"/>
    <w:rsid w:val="002424A2"/>
    <w:rsid w:val="00242768"/>
    <w:rsid w:val="00244261"/>
    <w:rsid w:val="00244BD1"/>
    <w:rsid w:val="00244C05"/>
    <w:rsid w:val="002454E1"/>
    <w:rsid w:val="00245BE8"/>
    <w:rsid w:val="00245C8B"/>
    <w:rsid w:val="002463B4"/>
    <w:rsid w:val="00246539"/>
    <w:rsid w:val="00247DAE"/>
    <w:rsid w:val="00247DB5"/>
    <w:rsid w:val="00247E4A"/>
    <w:rsid w:val="00247F9D"/>
    <w:rsid w:val="002509A5"/>
    <w:rsid w:val="0025111D"/>
    <w:rsid w:val="00251304"/>
    <w:rsid w:val="00251444"/>
    <w:rsid w:val="0025232D"/>
    <w:rsid w:val="002528F9"/>
    <w:rsid w:val="00252BA1"/>
    <w:rsid w:val="0025350A"/>
    <w:rsid w:val="0025355C"/>
    <w:rsid w:val="002543A8"/>
    <w:rsid w:val="002552CA"/>
    <w:rsid w:val="00256DD3"/>
    <w:rsid w:val="00256F70"/>
    <w:rsid w:val="0026015F"/>
    <w:rsid w:val="00260C55"/>
    <w:rsid w:val="00260C77"/>
    <w:rsid w:val="00262C86"/>
    <w:rsid w:val="002632EB"/>
    <w:rsid w:val="002633EC"/>
    <w:rsid w:val="0026365B"/>
    <w:rsid w:val="0026367D"/>
    <w:rsid w:val="00263C45"/>
    <w:rsid w:val="00263CF0"/>
    <w:rsid w:val="00266182"/>
    <w:rsid w:val="002667B2"/>
    <w:rsid w:val="00266929"/>
    <w:rsid w:val="00266C2B"/>
    <w:rsid w:val="00266D87"/>
    <w:rsid w:val="0026731E"/>
    <w:rsid w:val="00270214"/>
    <w:rsid w:val="0027060F"/>
    <w:rsid w:val="002709ED"/>
    <w:rsid w:val="00270F61"/>
    <w:rsid w:val="0027135E"/>
    <w:rsid w:val="002717E5"/>
    <w:rsid w:val="00271BD4"/>
    <w:rsid w:val="00273824"/>
    <w:rsid w:val="00273B98"/>
    <w:rsid w:val="002746FA"/>
    <w:rsid w:val="002757ED"/>
    <w:rsid w:val="0027591F"/>
    <w:rsid w:val="002759E4"/>
    <w:rsid w:val="0028022B"/>
    <w:rsid w:val="002805B6"/>
    <w:rsid w:val="00281088"/>
    <w:rsid w:val="002813C9"/>
    <w:rsid w:val="0028182A"/>
    <w:rsid w:val="00281E3C"/>
    <w:rsid w:val="00281E52"/>
    <w:rsid w:val="00282B55"/>
    <w:rsid w:val="00283E3D"/>
    <w:rsid w:val="0028437D"/>
    <w:rsid w:val="00285131"/>
    <w:rsid w:val="0028530E"/>
    <w:rsid w:val="0028555C"/>
    <w:rsid w:val="002859D5"/>
    <w:rsid w:val="00285B30"/>
    <w:rsid w:val="00285F40"/>
    <w:rsid w:val="002866D1"/>
    <w:rsid w:val="0028708A"/>
    <w:rsid w:val="00287122"/>
    <w:rsid w:val="0028741B"/>
    <w:rsid w:val="00290082"/>
    <w:rsid w:val="00290B90"/>
    <w:rsid w:val="002912A9"/>
    <w:rsid w:val="002918BF"/>
    <w:rsid w:val="00293033"/>
    <w:rsid w:val="00294024"/>
    <w:rsid w:val="00294C06"/>
    <w:rsid w:val="002951F5"/>
    <w:rsid w:val="00295311"/>
    <w:rsid w:val="0029551B"/>
    <w:rsid w:val="00296450"/>
    <w:rsid w:val="002969F2"/>
    <w:rsid w:val="00296F36"/>
    <w:rsid w:val="002A2080"/>
    <w:rsid w:val="002A2572"/>
    <w:rsid w:val="002A30D1"/>
    <w:rsid w:val="002A3220"/>
    <w:rsid w:val="002A3B53"/>
    <w:rsid w:val="002A3E2E"/>
    <w:rsid w:val="002A50F4"/>
    <w:rsid w:val="002A5C52"/>
    <w:rsid w:val="002A5FCB"/>
    <w:rsid w:val="002A64CD"/>
    <w:rsid w:val="002A6D64"/>
    <w:rsid w:val="002A7307"/>
    <w:rsid w:val="002A7C08"/>
    <w:rsid w:val="002B0025"/>
    <w:rsid w:val="002B0B09"/>
    <w:rsid w:val="002B10C9"/>
    <w:rsid w:val="002B14AE"/>
    <w:rsid w:val="002B1614"/>
    <w:rsid w:val="002B18D4"/>
    <w:rsid w:val="002B1DB2"/>
    <w:rsid w:val="002B26E7"/>
    <w:rsid w:val="002B3373"/>
    <w:rsid w:val="002B35DE"/>
    <w:rsid w:val="002B38BB"/>
    <w:rsid w:val="002B3FBB"/>
    <w:rsid w:val="002B537E"/>
    <w:rsid w:val="002B5917"/>
    <w:rsid w:val="002B5B72"/>
    <w:rsid w:val="002B5B98"/>
    <w:rsid w:val="002B6353"/>
    <w:rsid w:val="002B639C"/>
    <w:rsid w:val="002B6457"/>
    <w:rsid w:val="002B6CEC"/>
    <w:rsid w:val="002B6E11"/>
    <w:rsid w:val="002C0D59"/>
    <w:rsid w:val="002C0DF3"/>
    <w:rsid w:val="002C1E89"/>
    <w:rsid w:val="002C2083"/>
    <w:rsid w:val="002C26FC"/>
    <w:rsid w:val="002C297A"/>
    <w:rsid w:val="002C2EC3"/>
    <w:rsid w:val="002C3B66"/>
    <w:rsid w:val="002C3BC2"/>
    <w:rsid w:val="002C3D13"/>
    <w:rsid w:val="002C5326"/>
    <w:rsid w:val="002C5484"/>
    <w:rsid w:val="002C64AB"/>
    <w:rsid w:val="002C64FB"/>
    <w:rsid w:val="002C7CC5"/>
    <w:rsid w:val="002C7FD7"/>
    <w:rsid w:val="002D0808"/>
    <w:rsid w:val="002D099B"/>
    <w:rsid w:val="002D0E84"/>
    <w:rsid w:val="002D0F33"/>
    <w:rsid w:val="002D200B"/>
    <w:rsid w:val="002D21C8"/>
    <w:rsid w:val="002D2497"/>
    <w:rsid w:val="002D2F5D"/>
    <w:rsid w:val="002D2FCB"/>
    <w:rsid w:val="002D3A8B"/>
    <w:rsid w:val="002D3F1C"/>
    <w:rsid w:val="002D45F6"/>
    <w:rsid w:val="002D46C7"/>
    <w:rsid w:val="002D599C"/>
    <w:rsid w:val="002D5B89"/>
    <w:rsid w:val="002D5C89"/>
    <w:rsid w:val="002D5FC4"/>
    <w:rsid w:val="002D6AE9"/>
    <w:rsid w:val="002D78FC"/>
    <w:rsid w:val="002D7A61"/>
    <w:rsid w:val="002D7ED4"/>
    <w:rsid w:val="002D7F19"/>
    <w:rsid w:val="002E09F2"/>
    <w:rsid w:val="002E10ED"/>
    <w:rsid w:val="002E16B5"/>
    <w:rsid w:val="002E18C1"/>
    <w:rsid w:val="002E2145"/>
    <w:rsid w:val="002E294B"/>
    <w:rsid w:val="002E2E94"/>
    <w:rsid w:val="002E3921"/>
    <w:rsid w:val="002E3ED2"/>
    <w:rsid w:val="002E4558"/>
    <w:rsid w:val="002E4E75"/>
    <w:rsid w:val="002E6666"/>
    <w:rsid w:val="002E680E"/>
    <w:rsid w:val="002E6DA1"/>
    <w:rsid w:val="002E7399"/>
    <w:rsid w:val="002E76D5"/>
    <w:rsid w:val="002F08AB"/>
    <w:rsid w:val="002F0F17"/>
    <w:rsid w:val="002F14BD"/>
    <w:rsid w:val="002F218E"/>
    <w:rsid w:val="002F26BF"/>
    <w:rsid w:val="002F29D7"/>
    <w:rsid w:val="002F367A"/>
    <w:rsid w:val="002F42C4"/>
    <w:rsid w:val="002F4322"/>
    <w:rsid w:val="002F59DF"/>
    <w:rsid w:val="002F621E"/>
    <w:rsid w:val="002F64A4"/>
    <w:rsid w:val="002F6AC8"/>
    <w:rsid w:val="002F6E79"/>
    <w:rsid w:val="002F7093"/>
    <w:rsid w:val="002F7815"/>
    <w:rsid w:val="002F78AA"/>
    <w:rsid w:val="002F7BBC"/>
    <w:rsid w:val="003003F7"/>
    <w:rsid w:val="003004FE"/>
    <w:rsid w:val="00301A61"/>
    <w:rsid w:val="00301E6C"/>
    <w:rsid w:val="0030231C"/>
    <w:rsid w:val="003027ED"/>
    <w:rsid w:val="0030287A"/>
    <w:rsid w:val="00302C17"/>
    <w:rsid w:val="003032FC"/>
    <w:rsid w:val="00303339"/>
    <w:rsid w:val="0030415F"/>
    <w:rsid w:val="003044FC"/>
    <w:rsid w:val="00304AF4"/>
    <w:rsid w:val="003058FB"/>
    <w:rsid w:val="003059C9"/>
    <w:rsid w:val="00305CF9"/>
    <w:rsid w:val="00306595"/>
    <w:rsid w:val="003067BD"/>
    <w:rsid w:val="00307266"/>
    <w:rsid w:val="00307874"/>
    <w:rsid w:val="00307C42"/>
    <w:rsid w:val="0031072C"/>
    <w:rsid w:val="00310D15"/>
    <w:rsid w:val="00311B3A"/>
    <w:rsid w:val="00311E8B"/>
    <w:rsid w:val="0031214F"/>
    <w:rsid w:val="00312860"/>
    <w:rsid w:val="00312DC6"/>
    <w:rsid w:val="00313071"/>
    <w:rsid w:val="00313C7E"/>
    <w:rsid w:val="00313CE7"/>
    <w:rsid w:val="0031412C"/>
    <w:rsid w:val="00314198"/>
    <w:rsid w:val="003147F2"/>
    <w:rsid w:val="003149B3"/>
    <w:rsid w:val="00314E91"/>
    <w:rsid w:val="00316639"/>
    <w:rsid w:val="0031742B"/>
    <w:rsid w:val="0031782C"/>
    <w:rsid w:val="00317941"/>
    <w:rsid w:val="00317C39"/>
    <w:rsid w:val="00317D95"/>
    <w:rsid w:val="0032136F"/>
    <w:rsid w:val="003214F4"/>
    <w:rsid w:val="00321F32"/>
    <w:rsid w:val="00322A65"/>
    <w:rsid w:val="00323606"/>
    <w:rsid w:val="00323E2C"/>
    <w:rsid w:val="00323F20"/>
    <w:rsid w:val="0032521C"/>
    <w:rsid w:val="0032555A"/>
    <w:rsid w:val="003258DE"/>
    <w:rsid w:val="00325FAE"/>
    <w:rsid w:val="0032776A"/>
    <w:rsid w:val="00327B32"/>
    <w:rsid w:val="00327BA9"/>
    <w:rsid w:val="0033011D"/>
    <w:rsid w:val="00331BED"/>
    <w:rsid w:val="00331CE0"/>
    <w:rsid w:val="00331E23"/>
    <w:rsid w:val="0033260D"/>
    <w:rsid w:val="00332979"/>
    <w:rsid w:val="00332E25"/>
    <w:rsid w:val="00333CAB"/>
    <w:rsid w:val="00333D61"/>
    <w:rsid w:val="0033440B"/>
    <w:rsid w:val="00334D4F"/>
    <w:rsid w:val="0033519C"/>
    <w:rsid w:val="0033603A"/>
    <w:rsid w:val="0033603C"/>
    <w:rsid w:val="00337264"/>
    <w:rsid w:val="00337CAA"/>
    <w:rsid w:val="00340381"/>
    <w:rsid w:val="00340AF3"/>
    <w:rsid w:val="00340B2C"/>
    <w:rsid w:val="00341F68"/>
    <w:rsid w:val="0034244F"/>
    <w:rsid w:val="003435AE"/>
    <w:rsid w:val="00344982"/>
    <w:rsid w:val="00344B54"/>
    <w:rsid w:val="00345C01"/>
    <w:rsid w:val="00347263"/>
    <w:rsid w:val="003472D4"/>
    <w:rsid w:val="003472E3"/>
    <w:rsid w:val="00347889"/>
    <w:rsid w:val="00347AF5"/>
    <w:rsid w:val="00347C5E"/>
    <w:rsid w:val="00350469"/>
    <w:rsid w:val="003512A4"/>
    <w:rsid w:val="003512EC"/>
    <w:rsid w:val="00351335"/>
    <w:rsid w:val="00351BA2"/>
    <w:rsid w:val="00351D7A"/>
    <w:rsid w:val="00351DE7"/>
    <w:rsid w:val="00353D90"/>
    <w:rsid w:val="00353EB3"/>
    <w:rsid w:val="003540AF"/>
    <w:rsid w:val="0035416E"/>
    <w:rsid w:val="003545D5"/>
    <w:rsid w:val="0035563D"/>
    <w:rsid w:val="003561A5"/>
    <w:rsid w:val="003563BF"/>
    <w:rsid w:val="00357459"/>
    <w:rsid w:val="00357636"/>
    <w:rsid w:val="00357A5A"/>
    <w:rsid w:val="00360457"/>
    <w:rsid w:val="003611AF"/>
    <w:rsid w:val="0036181A"/>
    <w:rsid w:val="00361B25"/>
    <w:rsid w:val="00362367"/>
    <w:rsid w:val="00362CB9"/>
    <w:rsid w:val="00362EB6"/>
    <w:rsid w:val="00363A98"/>
    <w:rsid w:val="00363ADB"/>
    <w:rsid w:val="00364230"/>
    <w:rsid w:val="003643E8"/>
    <w:rsid w:val="00364787"/>
    <w:rsid w:val="003648C6"/>
    <w:rsid w:val="00365B33"/>
    <w:rsid w:val="003664B0"/>
    <w:rsid w:val="00366B7F"/>
    <w:rsid w:val="00366EF4"/>
    <w:rsid w:val="003673A0"/>
    <w:rsid w:val="00367EF7"/>
    <w:rsid w:val="00370428"/>
    <w:rsid w:val="0037060C"/>
    <w:rsid w:val="00371571"/>
    <w:rsid w:val="00371C35"/>
    <w:rsid w:val="00371FC2"/>
    <w:rsid w:val="00372570"/>
    <w:rsid w:val="003740C4"/>
    <w:rsid w:val="00374B7E"/>
    <w:rsid w:val="00375661"/>
    <w:rsid w:val="00375E16"/>
    <w:rsid w:val="00376035"/>
    <w:rsid w:val="0037610B"/>
    <w:rsid w:val="003768C3"/>
    <w:rsid w:val="00376D82"/>
    <w:rsid w:val="00376F54"/>
    <w:rsid w:val="0037737E"/>
    <w:rsid w:val="003778D2"/>
    <w:rsid w:val="00377FED"/>
    <w:rsid w:val="00380003"/>
    <w:rsid w:val="003806EA"/>
    <w:rsid w:val="0038177E"/>
    <w:rsid w:val="00382088"/>
    <w:rsid w:val="003824EE"/>
    <w:rsid w:val="00382CB5"/>
    <w:rsid w:val="00382DC7"/>
    <w:rsid w:val="00382E0E"/>
    <w:rsid w:val="00382F89"/>
    <w:rsid w:val="00383DAF"/>
    <w:rsid w:val="00383FB7"/>
    <w:rsid w:val="00384551"/>
    <w:rsid w:val="003854D6"/>
    <w:rsid w:val="003859E9"/>
    <w:rsid w:val="00386417"/>
    <w:rsid w:val="00386D06"/>
    <w:rsid w:val="00386DA0"/>
    <w:rsid w:val="003871AC"/>
    <w:rsid w:val="003902EC"/>
    <w:rsid w:val="003903E5"/>
    <w:rsid w:val="00390A6A"/>
    <w:rsid w:val="00390E31"/>
    <w:rsid w:val="00390EA9"/>
    <w:rsid w:val="00391212"/>
    <w:rsid w:val="003915F7"/>
    <w:rsid w:val="00392205"/>
    <w:rsid w:val="00393FFE"/>
    <w:rsid w:val="00394696"/>
    <w:rsid w:val="00394EAE"/>
    <w:rsid w:val="00395569"/>
    <w:rsid w:val="00395C04"/>
    <w:rsid w:val="00395CC7"/>
    <w:rsid w:val="003961D7"/>
    <w:rsid w:val="00396D91"/>
    <w:rsid w:val="00397584"/>
    <w:rsid w:val="00397A94"/>
    <w:rsid w:val="00397B4B"/>
    <w:rsid w:val="003A0411"/>
    <w:rsid w:val="003A0AF1"/>
    <w:rsid w:val="003A1D62"/>
    <w:rsid w:val="003A22E4"/>
    <w:rsid w:val="003A24BE"/>
    <w:rsid w:val="003A2541"/>
    <w:rsid w:val="003A2E7E"/>
    <w:rsid w:val="003A39B8"/>
    <w:rsid w:val="003A3CA6"/>
    <w:rsid w:val="003A4112"/>
    <w:rsid w:val="003A4150"/>
    <w:rsid w:val="003A45FD"/>
    <w:rsid w:val="003A4CB1"/>
    <w:rsid w:val="003A588C"/>
    <w:rsid w:val="003A6003"/>
    <w:rsid w:val="003A60AA"/>
    <w:rsid w:val="003A6737"/>
    <w:rsid w:val="003A6D16"/>
    <w:rsid w:val="003A7C07"/>
    <w:rsid w:val="003B00E6"/>
    <w:rsid w:val="003B0417"/>
    <w:rsid w:val="003B051C"/>
    <w:rsid w:val="003B0B48"/>
    <w:rsid w:val="003B2B02"/>
    <w:rsid w:val="003B2B64"/>
    <w:rsid w:val="003B2FC1"/>
    <w:rsid w:val="003B387F"/>
    <w:rsid w:val="003B40FE"/>
    <w:rsid w:val="003B48F7"/>
    <w:rsid w:val="003B49C2"/>
    <w:rsid w:val="003B51A7"/>
    <w:rsid w:val="003B5328"/>
    <w:rsid w:val="003B5360"/>
    <w:rsid w:val="003B580B"/>
    <w:rsid w:val="003B5868"/>
    <w:rsid w:val="003B66DF"/>
    <w:rsid w:val="003B6E69"/>
    <w:rsid w:val="003B6FA6"/>
    <w:rsid w:val="003B7FC6"/>
    <w:rsid w:val="003C0720"/>
    <w:rsid w:val="003C0BCF"/>
    <w:rsid w:val="003C109A"/>
    <w:rsid w:val="003C185F"/>
    <w:rsid w:val="003C18D3"/>
    <w:rsid w:val="003C2275"/>
    <w:rsid w:val="003C282E"/>
    <w:rsid w:val="003C2EA8"/>
    <w:rsid w:val="003C2FA6"/>
    <w:rsid w:val="003C3427"/>
    <w:rsid w:val="003C3651"/>
    <w:rsid w:val="003C3C69"/>
    <w:rsid w:val="003C3FBD"/>
    <w:rsid w:val="003C4046"/>
    <w:rsid w:val="003C69DC"/>
    <w:rsid w:val="003C6D32"/>
    <w:rsid w:val="003C77FA"/>
    <w:rsid w:val="003D0CC8"/>
    <w:rsid w:val="003D0E0C"/>
    <w:rsid w:val="003D18D3"/>
    <w:rsid w:val="003D1E21"/>
    <w:rsid w:val="003D245D"/>
    <w:rsid w:val="003D2CFA"/>
    <w:rsid w:val="003D3ACD"/>
    <w:rsid w:val="003D3E81"/>
    <w:rsid w:val="003D3F97"/>
    <w:rsid w:val="003D58A0"/>
    <w:rsid w:val="003D5B01"/>
    <w:rsid w:val="003D5FC2"/>
    <w:rsid w:val="003D602E"/>
    <w:rsid w:val="003D6BB7"/>
    <w:rsid w:val="003D7C1C"/>
    <w:rsid w:val="003E0842"/>
    <w:rsid w:val="003E140C"/>
    <w:rsid w:val="003E1BE3"/>
    <w:rsid w:val="003E2B98"/>
    <w:rsid w:val="003E39C6"/>
    <w:rsid w:val="003E3C1A"/>
    <w:rsid w:val="003E3FD6"/>
    <w:rsid w:val="003E60CE"/>
    <w:rsid w:val="003E6286"/>
    <w:rsid w:val="003E67C6"/>
    <w:rsid w:val="003E6DBD"/>
    <w:rsid w:val="003E6FA7"/>
    <w:rsid w:val="003E734A"/>
    <w:rsid w:val="003E73FE"/>
    <w:rsid w:val="003E7D18"/>
    <w:rsid w:val="003F0E64"/>
    <w:rsid w:val="003F1862"/>
    <w:rsid w:val="003F1CC2"/>
    <w:rsid w:val="003F1CCD"/>
    <w:rsid w:val="003F4022"/>
    <w:rsid w:val="003F4FFA"/>
    <w:rsid w:val="003F5244"/>
    <w:rsid w:val="003F579F"/>
    <w:rsid w:val="003F6103"/>
    <w:rsid w:val="003F65DB"/>
    <w:rsid w:val="003F67D5"/>
    <w:rsid w:val="003F685D"/>
    <w:rsid w:val="003F6C0B"/>
    <w:rsid w:val="003F719B"/>
    <w:rsid w:val="003F7640"/>
    <w:rsid w:val="003F7AC7"/>
    <w:rsid w:val="00400C6B"/>
    <w:rsid w:val="00400F77"/>
    <w:rsid w:val="0040167B"/>
    <w:rsid w:val="004019E8"/>
    <w:rsid w:val="00401D69"/>
    <w:rsid w:val="00401F57"/>
    <w:rsid w:val="00402A26"/>
    <w:rsid w:val="00402FEC"/>
    <w:rsid w:val="004033CF"/>
    <w:rsid w:val="004041B0"/>
    <w:rsid w:val="00404239"/>
    <w:rsid w:val="00404EB0"/>
    <w:rsid w:val="00405202"/>
    <w:rsid w:val="004056F1"/>
    <w:rsid w:val="0040571F"/>
    <w:rsid w:val="0040574B"/>
    <w:rsid w:val="00406045"/>
    <w:rsid w:val="00406952"/>
    <w:rsid w:val="004073EC"/>
    <w:rsid w:val="00407468"/>
    <w:rsid w:val="00407909"/>
    <w:rsid w:val="00410D13"/>
    <w:rsid w:val="00411CA8"/>
    <w:rsid w:val="00411CC6"/>
    <w:rsid w:val="00412574"/>
    <w:rsid w:val="00412934"/>
    <w:rsid w:val="00412BE8"/>
    <w:rsid w:val="00412DA7"/>
    <w:rsid w:val="00413965"/>
    <w:rsid w:val="004139FF"/>
    <w:rsid w:val="00413EA2"/>
    <w:rsid w:val="00413EF1"/>
    <w:rsid w:val="00414A6F"/>
    <w:rsid w:val="00415077"/>
    <w:rsid w:val="004150F0"/>
    <w:rsid w:val="004158C1"/>
    <w:rsid w:val="00415D8F"/>
    <w:rsid w:val="0041632B"/>
    <w:rsid w:val="00416D7F"/>
    <w:rsid w:val="00416E11"/>
    <w:rsid w:val="00417070"/>
    <w:rsid w:val="004174C7"/>
    <w:rsid w:val="004179DC"/>
    <w:rsid w:val="004179E6"/>
    <w:rsid w:val="00417EFA"/>
    <w:rsid w:val="00420328"/>
    <w:rsid w:val="00420D96"/>
    <w:rsid w:val="0042128C"/>
    <w:rsid w:val="004225C3"/>
    <w:rsid w:val="0042279E"/>
    <w:rsid w:val="00422FA5"/>
    <w:rsid w:val="004235F6"/>
    <w:rsid w:val="004239C7"/>
    <w:rsid w:val="00424E86"/>
    <w:rsid w:val="0042509D"/>
    <w:rsid w:val="004250EF"/>
    <w:rsid w:val="004253F5"/>
    <w:rsid w:val="0042550B"/>
    <w:rsid w:val="0042561A"/>
    <w:rsid w:val="00425E3F"/>
    <w:rsid w:val="004266F8"/>
    <w:rsid w:val="0043041E"/>
    <w:rsid w:val="00430A91"/>
    <w:rsid w:val="004313DA"/>
    <w:rsid w:val="0043165A"/>
    <w:rsid w:val="0043173F"/>
    <w:rsid w:val="004334E5"/>
    <w:rsid w:val="00433792"/>
    <w:rsid w:val="00433962"/>
    <w:rsid w:val="00433BB1"/>
    <w:rsid w:val="00433C2C"/>
    <w:rsid w:val="00433F7A"/>
    <w:rsid w:val="0043402B"/>
    <w:rsid w:val="0043464C"/>
    <w:rsid w:val="0043493F"/>
    <w:rsid w:val="00434D28"/>
    <w:rsid w:val="00435186"/>
    <w:rsid w:val="00436935"/>
    <w:rsid w:val="00437920"/>
    <w:rsid w:val="004400BF"/>
    <w:rsid w:val="0044053C"/>
    <w:rsid w:val="00440D2A"/>
    <w:rsid w:val="0044198A"/>
    <w:rsid w:val="00442060"/>
    <w:rsid w:val="004424D4"/>
    <w:rsid w:val="0044394B"/>
    <w:rsid w:val="00443ECC"/>
    <w:rsid w:val="00443F27"/>
    <w:rsid w:val="00443F64"/>
    <w:rsid w:val="004443D6"/>
    <w:rsid w:val="0044452D"/>
    <w:rsid w:val="004448A5"/>
    <w:rsid w:val="00444EB8"/>
    <w:rsid w:val="004456DE"/>
    <w:rsid w:val="004458D2"/>
    <w:rsid w:val="00445A8D"/>
    <w:rsid w:val="00445DDC"/>
    <w:rsid w:val="00445E5A"/>
    <w:rsid w:val="00445E71"/>
    <w:rsid w:val="0044683C"/>
    <w:rsid w:val="00446C11"/>
    <w:rsid w:val="004476C2"/>
    <w:rsid w:val="004476E9"/>
    <w:rsid w:val="004501A2"/>
    <w:rsid w:val="00450AF0"/>
    <w:rsid w:val="00450B7A"/>
    <w:rsid w:val="0045104D"/>
    <w:rsid w:val="0045119E"/>
    <w:rsid w:val="0045143C"/>
    <w:rsid w:val="00451440"/>
    <w:rsid w:val="004523D0"/>
    <w:rsid w:val="004533B2"/>
    <w:rsid w:val="00453922"/>
    <w:rsid w:val="00454753"/>
    <w:rsid w:val="00454768"/>
    <w:rsid w:val="004551FE"/>
    <w:rsid w:val="004554EB"/>
    <w:rsid w:val="00455B36"/>
    <w:rsid w:val="00456F7C"/>
    <w:rsid w:val="0045742C"/>
    <w:rsid w:val="00457E2A"/>
    <w:rsid w:val="00457E5C"/>
    <w:rsid w:val="0046096F"/>
    <w:rsid w:val="00460CAE"/>
    <w:rsid w:val="00461578"/>
    <w:rsid w:val="004619F6"/>
    <w:rsid w:val="004622F3"/>
    <w:rsid w:val="0046263B"/>
    <w:rsid w:val="004635B9"/>
    <w:rsid w:val="0046381C"/>
    <w:rsid w:val="00464AE3"/>
    <w:rsid w:val="00465077"/>
    <w:rsid w:val="0046632C"/>
    <w:rsid w:val="00466593"/>
    <w:rsid w:val="00466D22"/>
    <w:rsid w:val="00467143"/>
    <w:rsid w:val="00467A9A"/>
    <w:rsid w:val="00467FA8"/>
    <w:rsid w:val="00471040"/>
    <w:rsid w:val="00471439"/>
    <w:rsid w:val="004715C1"/>
    <w:rsid w:val="00471DF8"/>
    <w:rsid w:val="0047230A"/>
    <w:rsid w:val="00472F0D"/>
    <w:rsid w:val="00473D56"/>
    <w:rsid w:val="00473F2B"/>
    <w:rsid w:val="00473FC6"/>
    <w:rsid w:val="00474313"/>
    <w:rsid w:val="004744FB"/>
    <w:rsid w:val="004764B1"/>
    <w:rsid w:val="00476CC1"/>
    <w:rsid w:val="00477472"/>
    <w:rsid w:val="00477D7A"/>
    <w:rsid w:val="00480395"/>
    <w:rsid w:val="0048068A"/>
    <w:rsid w:val="0048150F"/>
    <w:rsid w:val="00482875"/>
    <w:rsid w:val="0048305F"/>
    <w:rsid w:val="004830FF"/>
    <w:rsid w:val="0048330A"/>
    <w:rsid w:val="00483B48"/>
    <w:rsid w:val="00483EF9"/>
    <w:rsid w:val="00484611"/>
    <w:rsid w:val="00484BCD"/>
    <w:rsid w:val="00485159"/>
    <w:rsid w:val="004857FE"/>
    <w:rsid w:val="00485E6B"/>
    <w:rsid w:val="00486145"/>
    <w:rsid w:val="00486DD1"/>
    <w:rsid w:val="00487D68"/>
    <w:rsid w:val="00487EB1"/>
    <w:rsid w:val="00487F95"/>
    <w:rsid w:val="004908D8"/>
    <w:rsid w:val="00490A10"/>
    <w:rsid w:val="00491002"/>
    <w:rsid w:val="00491685"/>
    <w:rsid w:val="004920E6"/>
    <w:rsid w:val="00492FA1"/>
    <w:rsid w:val="00493962"/>
    <w:rsid w:val="00493BED"/>
    <w:rsid w:val="0049583C"/>
    <w:rsid w:val="00495B5B"/>
    <w:rsid w:val="00496531"/>
    <w:rsid w:val="0049686A"/>
    <w:rsid w:val="00496970"/>
    <w:rsid w:val="00496C0A"/>
    <w:rsid w:val="00497A02"/>
    <w:rsid w:val="00497DA0"/>
    <w:rsid w:val="00497EFD"/>
    <w:rsid w:val="004A0B7A"/>
    <w:rsid w:val="004A0CAD"/>
    <w:rsid w:val="004A1D26"/>
    <w:rsid w:val="004A280B"/>
    <w:rsid w:val="004A2C1B"/>
    <w:rsid w:val="004A2D20"/>
    <w:rsid w:val="004A36EA"/>
    <w:rsid w:val="004A3825"/>
    <w:rsid w:val="004A3DD7"/>
    <w:rsid w:val="004A41C1"/>
    <w:rsid w:val="004A41C7"/>
    <w:rsid w:val="004A422B"/>
    <w:rsid w:val="004A430F"/>
    <w:rsid w:val="004A50D1"/>
    <w:rsid w:val="004A617F"/>
    <w:rsid w:val="004A6F40"/>
    <w:rsid w:val="004B030E"/>
    <w:rsid w:val="004B04AB"/>
    <w:rsid w:val="004B0B03"/>
    <w:rsid w:val="004B0CE3"/>
    <w:rsid w:val="004B13C5"/>
    <w:rsid w:val="004B1BD7"/>
    <w:rsid w:val="004B1EEA"/>
    <w:rsid w:val="004B21CB"/>
    <w:rsid w:val="004B2238"/>
    <w:rsid w:val="004B282F"/>
    <w:rsid w:val="004B30D2"/>
    <w:rsid w:val="004B36B6"/>
    <w:rsid w:val="004B3B41"/>
    <w:rsid w:val="004B4412"/>
    <w:rsid w:val="004B4600"/>
    <w:rsid w:val="004B4623"/>
    <w:rsid w:val="004B4D90"/>
    <w:rsid w:val="004B54DE"/>
    <w:rsid w:val="004B73B2"/>
    <w:rsid w:val="004B786B"/>
    <w:rsid w:val="004C048A"/>
    <w:rsid w:val="004C0968"/>
    <w:rsid w:val="004C0A4F"/>
    <w:rsid w:val="004C17E3"/>
    <w:rsid w:val="004C1EE1"/>
    <w:rsid w:val="004C270C"/>
    <w:rsid w:val="004C2C6A"/>
    <w:rsid w:val="004C2D36"/>
    <w:rsid w:val="004C39EB"/>
    <w:rsid w:val="004C3CE0"/>
    <w:rsid w:val="004C3D5A"/>
    <w:rsid w:val="004C4535"/>
    <w:rsid w:val="004C5D9B"/>
    <w:rsid w:val="004C5DBF"/>
    <w:rsid w:val="004C6910"/>
    <w:rsid w:val="004C759D"/>
    <w:rsid w:val="004C7649"/>
    <w:rsid w:val="004C76ED"/>
    <w:rsid w:val="004C774C"/>
    <w:rsid w:val="004C7BA0"/>
    <w:rsid w:val="004D04D1"/>
    <w:rsid w:val="004D1154"/>
    <w:rsid w:val="004D11A1"/>
    <w:rsid w:val="004D1659"/>
    <w:rsid w:val="004D190F"/>
    <w:rsid w:val="004D299A"/>
    <w:rsid w:val="004D315D"/>
    <w:rsid w:val="004D4A84"/>
    <w:rsid w:val="004D4E63"/>
    <w:rsid w:val="004D55BE"/>
    <w:rsid w:val="004D5671"/>
    <w:rsid w:val="004D574C"/>
    <w:rsid w:val="004D59DE"/>
    <w:rsid w:val="004D5C9F"/>
    <w:rsid w:val="004D5F96"/>
    <w:rsid w:val="004D780A"/>
    <w:rsid w:val="004E040B"/>
    <w:rsid w:val="004E0BCC"/>
    <w:rsid w:val="004E2117"/>
    <w:rsid w:val="004E2C8A"/>
    <w:rsid w:val="004E4649"/>
    <w:rsid w:val="004E4F94"/>
    <w:rsid w:val="004E4FC3"/>
    <w:rsid w:val="004E57D8"/>
    <w:rsid w:val="004E5AB8"/>
    <w:rsid w:val="004E6195"/>
    <w:rsid w:val="004E7426"/>
    <w:rsid w:val="004E7FA8"/>
    <w:rsid w:val="004F02B1"/>
    <w:rsid w:val="004F1782"/>
    <w:rsid w:val="004F1B37"/>
    <w:rsid w:val="004F25F1"/>
    <w:rsid w:val="004F30A5"/>
    <w:rsid w:val="004F33A6"/>
    <w:rsid w:val="004F3580"/>
    <w:rsid w:val="004F3E35"/>
    <w:rsid w:val="004F4A30"/>
    <w:rsid w:val="004F5872"/>
    <w:rsid w:val="004F599F"/>
    <w:rsid w:val="004F5CF2"/>
    <w:rsid w:val="004F64F0"/>
    <w:rsid w:val="004F7512"/>
    <w:rsid w:val="00500363"/>
    <w:rsid w:val="005010AD"/>
    <w:rsid w:val="00501235"/>
    <w:rsid w:val="00501547"/>
    <w:rsid w:val="00501791"/>
    <w:rsid w:val="00501EC0"/>
    <w:rsid w:val="00502402"/>
    <w:rsid w:val="005024C6"/>
    <w:rsid w:val="00502589"/>
    <w:rsid w:val="005025F9"/>
    <w:rsid w:val="00502F06"/>
    <w:rsid w:val="00502FD4"/>
    <w:rsid w:val="00503A40"/>
    <w:rsid w:val="00503A63"/>
    <w:rsid w:val="005042AE"/>
    <w:rsid w:val="00504D62"/>
    <w:rsid w:val="00505854"/>
    <w:rsid w:val="00506197"/>
    <w:rsid w:val="00506323"/>
    <w:rsid w:val="00506631"/>
    <w:rsid w:val="005108F3"/>
    <w:rsid w:val="00510B1B"/>
    <w:rsid w:val="005113A8"/>
    <w:rsid w:val="005120FC"/>
    <w:rsid w:val="005122E5"/>
    <w:rsid w:val="005125D8"/>
    <w:rsid w:val="005129B9"/>
    <w:rsid w:val="00512F24"/>
    <w:rsid w:val="00513024"/>
    <w:rsid w:val="005134E0"/>
    <w:rsid w:val="005134EC"/>
    <w:rsid w:val="005136FA"/>
    <w:rsid w:val="0051386C"/>
    <w:rsid w:val="00513A9C"/>
    <w:rsid w:val="0051469B"/>
    <w:rsid w:val="00515AE1"/>
    <w:rsid w:val="00515C92"/>
    <w:rsid w:val="00516286"/>
    <w:rsid w:val="005172BC"/>
    <w:rsid w:val="00517C17"/>
    <w:rsid w:val="00517F0D"/>
    <w:rsid w:val="0052024A"/>
    <w:rsid w:val="00521D35"/>
    <w:rsid w:val="005223C4"/>
    <w:rsid w:val="005224F3"/>
    <w:rsid w:val="0052258C"/>
    <w:rsid w:val="00522980"/>
    <w:rsid w:val="005230B0"/>
    <w:rsid w:val="00523A4B"/>
    <w:rsid w:val="00524609"/>
    <w:rsid w:val="00524FBF"/>
    <w:rsid w:val="00525088"/>
    <w:rsid w:val="00525091"/>
    <w:rsid w:val="0052514B"/>
    <w:rsid w:val="005252D1"/>
    <w:rsid w:val="005258F9"/>
    <w:rsid w:val="005263DF"/>
    <w:rsid w:val="00526677"/>
    <w:rsid w:val="00526757"/>
    <w:rsid w:val="00530194"/>
    <w:rsid w:val="005302EA"/>
    <w:rsid w:val="00530D73"/>
    <w:rsid w:val="005311CB"/>
    <w:rsid w:val="005318C5"/>
    <w:rsid w:val="00531F3F"/>
    <w:rsid w:val="005320F0"/>
    <w:rsid w:val="0053253D"/>
    <w:rsid w:val="00532E6B"/>
    <w:rsid w:val="00533A35"/>
    <w:rsid w:val="0053430F"/>
    <w:rsid w:val="005348F4"/>
    <w:rsid w:val="00534C4D"/>
    <w:rsid w:val="00535F92"/>
    <w:rsid w:val="00536D58"/>
    <w:rsid w:val="00536D8A"/>
    <w:rsid w:val="00537866"/>
    <w:rsid w:val="00537ECF"/>
    <w:rsid w:val="005405C0"/>
    <w:rsid w:val="0054060B"/>
    <w:rsid w:val="00540F4E"/>
    <w:rsid w:val="005413CB"/>
    <w:rsid w:val="00541A6D"/>
    <w:rsid w:val="00541E39"/>
    <w:rsid w:val="00542B10"/>
    <w:rsid w:val="00542CC2"/>
    <w:rsid w:val="0054307B"/>
    <w:rsid w:val="00543B9C"/>
    <w:rsid w:val="005440E3"/>
    <w:rsid w:val="00544E6A"/>
    <w:rsid w:val="00544F98"/>
    <w:rsid w:val="0054526C"/>
    <w:rsid w:val="00545B6B"/>
    <w:rsid w:val="00545DC2"/>
    <w:rsid w:val="00546ACF"/>
    <w:rsid w:val="00547004"/>
    <w:rsid w:val="0054732C"/>
    <w:rsid w:val="00547B03"/>
    <w:rsid w:val="00547DBD"/>
    <w:rsid w:val="00547E01"/>
    <w:rsid w:val="00550D1C"/>
    <w:rsid w:val="0055128E"/>
    <w:rsid w:val="0055151E"/>
    <w:rsid w:val="00551BBA"/>
    <w:rsid w:val="00551DD3"/>
    <w:rsid w:val="00551E70"/>
    <w:rsid w:val="00552875"/>
    <w:rsid w:val="005533D6"/>
    <w:rsid w:val="0055360C"/>
    <w:rsid w:val="005536BC"/>
    <w:rsid w:val="0055389F"/>
    <w:rsid w:val="0055417B"/>
    <w:rsid w:val="00554552"/>
    <w:rsid w:val="00554606"/>
    <w:rsid w:val="00554D0C"/>
    <w:rsid w:val="0055518E"/>
    <w:rsid w:val="00555F11"/>
    <w:rsid w:val="00556069"/>
    <w:rsid w:val="005564A7"/>
    <w:rsid w:val="00557182"/>
    <w:rsid w:val="00557992"/>
    <w:rsid w:val="00560009"/>
    <w:rsid w:val="00560574"/>
    <w:rsid w:val="005609B8"/>
    <w:rsid w:val="005612E8"/>
    <w:rsid w:val="00561762"/>
    <w:rsid w:val="00561A62"/>
    <w:rsid w:val="00562260"/>
    <w:rsid w:val="005626F9"/>
    <w:rsid w:val="00562933"/>
    <w:rsid w:val="00563165"/>
    <w:rsid w:val="00563450"/>
    <w:rsid w:val="005634CA"/>
    <w:rsid w:val="00563804"/>
    <w:rsid w:val="005640A0"/>
    <w:rsid w:val="00565099"/>
    <w:rsid w:val="0056543D"/>
    <w:rsid w:val="005665EC"/>
    <w:rsid w:val="005669F6"/>
    <w:rsid w:val="00566E3F"/>
    <w:rsid w:val="005706E5"/>
    <w:rsid w:val="005713A3"/>
    <w:rsid w:val="00571629"/>
    <w:rsid w:val="00572C4D"/>
    <w:rsid w:val="00573950"/>
    <w:rsid w:val="00573FCD"/>
    <w:rsid w:val="005740A7"/>
    <w:rsid w:val="00574617"/>
    <w:rsid w:val="005746BE"/>
    <w:rsid w:val="005748B6"/>
    <w:rsid w:val="005754DE"/>
    <w:rsid w:val="00575874"/>
    <w:rsid w:val="00575D4C"/>
    <w:rsid w:val="005761C3"/>
    <w:rsid w:val="00576A0D"/>
    <w:rsid w:val="00576C3B"/>
    <w:rsid w:val="00576DFD"/>
    <w:rsid w:val="00576EA8"/>
    <w:rsid w:val="00576F31"/>
    <w:rsid w:val="00580539"/>
    <w:rsid w:val="005807EA"/>
    <w:rsid w:val="0058098B"/>
    <w:rsid w:val="005812C9"/>
    <w:rsid w:val="00581D37"/>
    <w:rsid w:val="00581E65"/>
    <w:rsid w:val="00582772"/>
    <w:rsid w:val="00583B34"/>
    <w:rsid w:val="005840CC"/>
    <w:rsid w:val="00584CDC"/>
    <w:rsid w:val="00584E5A"/>
    <w:rsid w:val="00585028"/>
    <w:rsid w:val="00585229"/>
    <w:rsid w:val="0058585F"/>
    <w:rsid w:val="00585E0C"/>
    <w:rsid w:val="005868AF"/>
    <w:rsid w:val="00586965"/>
    <w:rsid w:val="00586D65"/>
    <w:rsid w:val="00587E59"/>
    <w:rsid w:val="005911BD"/>
    <w:rsid w:val="00591C9B"/>
    <w:rsid w:val="005923FE"/>
    <w:rsid w:val="005924F0"/>
    <w:rsid w:val="005926BB"/>
    <w:rsid w:val="00592C62"/>
    <w:rsid w:val="0059304B"/>
    <w:rsid w:val="00593050"/>
    <w:rsid w:val="0059423C"/>
    <w:rsid w:val="00594271"/>
    <w:rsid w:val="0059479C"/>
    <w:rsid w:val="00594B49"/>
    <w:rsid w:val="00595B27"/>
    <w:rsid w:val="00595F44"/>
    <w:rsid w:val="00595FCB"/>
    <w:rsid w:val="0059649F"/>
    <w:rsid w:val="0059676A"/>
    <w:rsid w:val="0059754D"/>
    <w:rsid w:val="005979D9"/>
    <w:rsid w:val="005A0018"/>
    <w:rsid w:val="005A0B70"/>
    <w:rsid w:val="005A1A3B"/>
    <w:rsid w:val="005A2C33"/>
    <w:rsid w:val="005A2EB6"/>
    <w:rsid w:val="005A2F3E"/>
    <w:rsid w:val="005A2FCA"/>
    <w:rsid w:val="005A3A3F"/>
    <w:rsid w:val="005A441E"/>
    <w:rsid w:val="005A635F"/>
    <w:rsid w:val="005A658F"/>
    <w:rsid w:val="005A690E"/>
    <w:rsid w:val="005A6961"/>
    <w:rsid w:val="005A75C4"/>
    <w:rsid w:val="005A7ECC"/>
    <w:rsid w:val="005B0E28"/>
    <w:rsid w:val="005B1C51"/>
    <w:rsid w:val="005B2267"/>
    <w:rsid w:val="005B2C70"/>
    <w:rsid w:val="005B3B48"/>
    <w:rsid w:val="005B43F7"/>
    <w:rsid w:val="005B4AD9"/>
    <w:rsid w:val="005B4B33"/>
    <w:rsid w:val="005B53EF"/>
    <w:rsid w:val="005B5E68"/>
    <w:rsid w:val="005B6931"/>
    <w:rsid w:val="005B7313"/>
    <w:rsid w:val="005B7BD6"/>
    <w:rsid w:val="005B7BF5"/>
    <w:rsid w:val="005B7E67"/>
    <w:rsid w:val="005C1126"/>
    <w:rsid w:val="005C2962"/>
    <w:rsid w:val="005C38F5"/>
    <w:rsid w:val="005C3F17"/>
    <w:rsid w:val="005C439F"/>
    <w:rsid w:val="005C4569"/>
    <w:rsid w:val="005C477C"/>
    <w:rsid w:val="005C4C1E"/>
    <w:rsid w:val="005C4D0E"/>
    <w:rsid w:val="005C5437"/>
    <w:rsid w:val="005C5463"/>
    <w:rsid w:val="005C5F5B"/>
    <w:rsid w:val="005C60FC"/>
    <w:rsid w:val="005C6425"/>
    <w:rsid w:val="005C6EDD"/>
    <w:rsid w:val="005C7BF5"/>
    <w:rsid w:val="005D0274"/>
    <w:rsid w:val="005D07B7"/>
    <w:rsid w:val="005D07C1"/>
    <w:rsid w:val="005D07DC"/>
    <w:rsid w:val="005D14B9"/>
    <w:rsid w:val="005D1BEF"/>
    <w:rsid w:val="005D2E92"/>
    <w:rsid w:val="005D2F3B"/>
    <w:rsid w:val="005D3627"/>
    <w:rsid w:val="005D3BCA"/>
    <w:rsid w:val="005D428A"/>
    <w:rsid w:val="005D47BD"/>
    <w:rsid w:val="005D6E45"/>
    <w:rsid w:val="005D711C"/>
    <w:rsid w:val="005E1289"/>
    <w:rsid w:val="005E17BF"/>
    <w:rsid w:val="005E19DE"/>
    <w:rsid w:val="005E297D"/>
    <w:rsid w:val="005E33F5"/>
    <w:rsid w:val="005E42E6"/>
    <w:rsid w:val="005E4E17"/>
    <w:rsid w:val="005E5B7D"/>
    <w:rsid w:val="005E5C5D"/>
    <w:rsid w:val="005E5D86"/>
    <w:rsid w:val="005E7EFC"/>
    <w:rsid w:val="005F0043"/>
    <w:rsid w:val="005F072F"/>
    <w:rsid w:val="005F080A"/>
    <w:rsid w:val="005F0B69"/>
    <w:rsid w:val="005F1E1B"/>
    <w:rsid w:val="005F2169"/>
    <w:rsid w:val="005F2B52"/>
    <w:rsid w:val="005F2EFD"/>
    <w:rsid w:val="005F2FCD"/>
    <w:rsid w:val="005F4358"/>
    <w:rsid w:val="005F462B"/>
    <w:rsid w:val="005F5543"/>
    <w:rsid w:val="005F5AC1"/>
    <w:rsid w:val="005F659C"/>
    <w:rsid w:val="005F750F"/>
    <w:rsid w:val="005F7CFF"/>
    <w:rsid w:val="006003CE"/>
    <w:rsid w:val="00600D9F"/>
    <w:rsid w:val="006012E6"/>
    <w:rsid w:val="006017D7"/>
    <w:rsid w:val="00601880"/>
    <w:rsid w:val="00601AC5"/>
    <w:rsid w:val="00602C45"/>
    <w:rsid w:val="00602DDF"/>
    <w:rsid w:val="006030B2"/>
    <w:rsid w:val="00603105"/>
    <w:rsid w:val="0060361A"/>
    <w:rsid w:val="00603A5B"/>
    <w:rsid w:val="0060500C"/>
    <w:rsid w:val="00605905"/>
    <w:rsid w:val="00605A7F"/>
    <w:rsid w:val="00606159"/>
    <w:rsid w:val="00606583"/>
    <w:rsid w:val="00606D07"/>
    <w:rsid w:val="00607A09"/>
    <w:rsid w:val="00610072"/>
    <w:rsid w:val="00611709"/>
    <w:rsid w:val="00611D19"/>
    <w:rsid w:val="00611E04"/>
    <w:rsid w:val="006127EE"/>
    <w:rsid w:val="00613122"/>
    <w:rsid w:val="00613875"/>
    <w:rsid w:val="006139D7"/>
    <w:rsid w:val="00613AE8"/>
    <w:rsid w:val="00614A92"/>
    <w:rsid w:val="00615158"/>
    <w:rsid w:val="00615AAC"/>
    <w:rsid w:val="00615BB7"/>
    <w:rsid w:val="00615D60"/>
    <w:rsid w:val="00616629"/>
    <w:rsid w:val="006168B6"/>
    <w:rsid w:val="00616F5D"/>
    <w:rsid w:val="0062028E"/>
    <w:rsid w:val="006223F1"/>
    <w:rsid w:val="006224BA"/>
    <w:rsid w:val="00622B55"/>
    <w:rsid w:val="00622FEF"/>
    <w:rsid w:val="0062312F"/>
    <w:rsid w:val="0062341C"/>
    <w:rsid w:val="00623CC4"/>
    <w:rsid w:val="006245BB"/>
    <w:rsid w:val="00624C81"/>
    <w:rsid w:val="006250E8"/>
    <w:rsid w:val="00625BA2"/>
    <w:rsid w:val="00626580"/>
    <w:rsid w:val="00626605"/>
    <w:rsid w:val="00626C6E"/>
    <w:rsid w:val="00626E86"/>
    <w:rsid w:val="00627CAA"/>
    <w:rsid w:val="00630642"/>
    <w:rsid w:val="00630C95"/>
    <w:rsid w:val="00630ECE"/>
    <w:rsid w:val="00631218"/>
    <w:rsid w:val="00631B64"/>
    <w:rsid w:val="00632F9C"/>
    <w:rsid w:val="0063322A"/>
    <w:rsid w:val="0063361C"/>
    <w:rsid w:val="00633739"/>
    <w:rsid w:val="00634D3F"/>
    <w:rsid w:val="00635562"/>
    <w:rsid w:val="00635D7B"/>
    <w:rsid w:val="00635E1D"/>
    <w:rsid w:val="0063629A"/>
    <w:rsid w:val="00636BF3"/>
    <w:rsid w:val="0063748C"/>
    <w:rsid w:val="006374EB"/>
    <w:rsid w:val="00637D3A"/>
    <w:rsid w:val="006402A1"/>
    <w:rsid w:val="00640DC0"/>
    <w:rsid w:val="006411AA"/>
    <w:rsid w:val="006416CF"/>
    <w:rsid w:val="006418A2"/>
    <w:rsid w:val="00641EF7"/>
    <w:rsid w:val="006422B7"/>
    <w:rsid w:val="0064254A"/>
    <w:rsid w:val="00642689"/>
    <w:rsid w:val="00642CA9"/>
    <w:rsid w:val="00642CD7"/>
    <w:rsid w:val="00642DA8"/>
    <w:rsid w:val="006433F2"/>
    <w:rsid w:val="0064384A"/>
    <w:rsid w:val="00643DDF"/>
    <w:rsid w:val="00644B10"/>
    <w:rsid w:val="00644BEA"/>
    <w:rsid w:val="00644F51"/>
    <w:rsid w:val="0064534D"/>
    <w:rsid w:val="006454AC"/>
    <w:rsid w:val="006468F1"/>
    <w:rsid w:val="0064755C"/>
    <w:rsid w:val="00650699"/>
    <w:rsid w:val="006527E5"/>
    <w:rsid w:val="00652949"/>
    <w:rsid w:val="00652AEF"/>
    <w:rsid w:val="00652DB7"/>
    <w:rsid w:val="00654CB4"/>
    <w:rsid w:val="006564EF"/>
    <w:rsid w:val="006566A7"/>
    <w:rsid w:val="00656790"/>
    <w:rsid w:val="006567F3"/>
    <w:rsid w:val="006569EB"/>
    <w:rsid w:val="006573D6"/>
    <w:rsid w:val="00657526"/>
    <w:rsid w:val="006607AD"/>
    <w:rsid w:val="00660954"/>
    <w:rsid w:val="00660CEB"/>
    <w:rsid w:val="006619DE"/>
    <w:rsid w:val="00661A0C"/>
    <w:rsid w:val="006621D4"/>
    <w:rsid w:val="00662584"/>
    <w:rsid w:val="006630C6"/>
    <w:rsid w:val="00663199"/>
    <w:rsid w:val="006638A6"/>
    <w:rsid w:val="0066394B"/>
    <w:rsid w:val="0066431B"/>
    <w:rsid w:val="00664791"/>
    <w:rsid w:val="006649EF"/>
    <w:rsid w:val="006652A6"/>
    <w:rsid w:val="0066563B"/>
    <w:rsid w:val="0066609D"/>
    <w:rsid w:val="006667E5"/>
    <w:rsid w:val="00666B84"/>
    <w:rsid w:val="006678D6"/>
    <w:rsid w:val="00667F37"/>
    <w:rsid w:val="00670394"/>
    <w:rsid w:val="00670B3F"/>
    <w:rsid w:val="0067113E"/>
    <w:rsid w:val="00671E6B"/>
    <w:rsid w:val="00672198"/>
    <w:rsid w:val="0067302F"/>
    <w:rsid w:val="006736E1"/>
    <w:rsid w:val="006740C2"/>
    <w:rsid w:val="006756FC"/>
    <w:rsid w:val="00676991"/>
    <w:rsid w:val="00677D69"/>
    <w:rsid w:val="00677EC4"/>
    <w:rsid w:val="00680085"/>
    <w:rsid w:val="006808DD"/>
    <w:rsid w:val="00681448"/>
    <w:rsid w:val="00681812"/>
    <w:rsid w:val="00681E34"/>
    <w:rsid w:val="00682995"/>
    <w:rsid w:val="006830EE"/>
    <w:rsid w:val="0068396B"/>
    <w:rsid w:val="00684B04"/>
    <w:rsid w:val="00684D26"/>
    <w:rsid w:val="00684EA0"/>
    <w:rsid w:val="0068505B"/>
    <w:rsid w:val="00687212"/>
    <w:rsid w:val="00687364"/>
    <w:rsid w:val="0069073E"/>
    <w:rsid w:val="00691CC3"/>
    <w:rsid w:val="00692397"/>
    <w:rsid w:val="00692635"/>
    <w:rsid w:val="0069306F"/>
    <w:rsid w:val="00693E7E"/>
    <w:rsid w:val="00693F26"/>
    <w:rsid w:val="0069553E"/>
    <w:rsid w:val="00695A34"/>
    <w:rsid w:val="00696288"/>
    <w:rsid w:val="00696B65"/>
    <w:rsid w:val="00696D9D"/>
    <w:rsid w:val="006970EC"/>
    <w:rsid w:val="00697163"/>
    <w:rsid w:val="00697332"/>
    <w:rsid w:val="00697C29"/>
    <w:rsid w:val="006A096D"/>
    <w:rsid w:val="006A1069"/>
    <w:rsid w:val="006A10E1"/>
    <w:rsid w:val="006A247F"/>
    <w:rsid w:val="006A24E1"/>
    <w:rsid w:val="006A41B1"/>
    <w:rsid w:val="006A57DE"/>
    <w:rsid w:val="006A60D5"/>
    <w:rsid w:val="006A6A64"/>
    <w:rsid w:val="006A7072"/>
    <w:rsid w:val="006A7356"/>
    <w:rsid w:val="006A73B0"/>
    <w:rsid w:val="006A772E"/>
    <w:rsid w:val="006A7BBD"/>
    <w:rsid w:val="006B0025"/>
    <w:rsid w:val="006B0465"/>
    <w:rsid w:val="006B0D13"/>
    <w:rsid w:val="006B12C7"/>
    <w:rsid w:val="006B15A3"/>
    <w:rsid w:val="006B1FB2"/>
    <w:rsid w:val="006B354D"/>
    <w:rsid w:val="006B3859"/>
    <w:rsid w:val="006B468A"/>
    <w:rsid w:val="006B5373"/>
    <w:rsid w:val="006B54A2"/>
    <w:rsid w:val="006B566F"/>
    <w:rsid w:val="006B5813"/>
    <w:rsid w:val="006B590D"/>
    <w:rsid w:val="006B5D52"/>
    <w:rsid w:val="006B604B"/>
    <w:rsid w:val="006B6456"/>
    <w:rsid w:val="006B6D1F"/>
    <w:rsid w:val="006B7BAA"/>
    <w:rsid w:val="006B7E7B"/>
    <w:rsid w:val="006C10FC"/>
    <w:rsid w:val="006C1343"/>
    <w:rsid w:val="006C145B"/>
    <w:rsid w:val="006C19C5"/>
    <w:rsid w:val="006C2B22"/>
    <w:rsid w:val="006C3030"/>
    <w:rsid w:val="006C32A9"/>
    <w:rsid w:val="006C367A"/>
    <w:rsid w:val="006C375D"/>
    <w:rsid w:val="006C45ED"/>
    <w:rsid w:val="006C4BFB"/>
    <w:rsid w:val="006C4C03"/>
    <w:rsid w:val="006C573A"/>
    <w:rsid w:val="006C5CEF"/>
    <w:rsid w:val="006C77F9"/>
    <w:rsid w:val="006D1CAA"/>
    <w:rsid w:val="006D1F3B"/>
    <w:rsid w:val="006D2039"/>
    <w:rsid w:val="006D244D"/>
    <w:rsid w:val="006D2613"/>
    <w:rsid w:val="006D29F1"/>
    <w:rsid w:val="006D2E2D"/>
    <w:rsid w:val="006D5022"/>
    <w:rsid w:val="006D58A2"/>
    <w:rsid w:val="006D5C45"/>
    <w:rsid w:val="006D5E20"/>
    <w:rsid w:val="006D6621"/>
    <w:rsid w:val="006D6CC0"/>
    <w:rsid w:val="006D712A"/>
    <w:rsid w:val="006E005F"/>
    <w:rsid w:val="006E02A8"/>
    <w:rsid w:val="006E02AB"/>
    <w:rsid w:val="006E0DC9"/>
    <w:rsid w:val="006E0EC1"/>
    <w:rsid w:val="006E15A2"/>
    <w:rsid w:val="006E17DC"/>
    <w:rsid w:val="006E181B"/>
    <w:rsid w:val="006E261A"/>
    <w:rsid w:val="006E26FD"/>
    <w:rsid w:val="006E2765"/>
    <w:rsid w:val="006E287E"/>
    <w:rsid w:val="006E47A0"/>
    <w:rsid w:val="006E5238"/>
    <w:rsid w:val="006E590D"/>
    <w:rsid w:val="006E5D41"/>
    <w:rsid w:val="006E5D5C"/>
    <w:rsid w:val="006E5F74"/>
    <w:rsid w:val="006E6AB9"/>
    <w:rsid w:val="006E6C67"/>
    <w:rsid w:val="006E6E14"/>
    <w:rsid w:val="006E73B9"/>
    <w:rsid w:val="006E7D0E"/>
    <w:rsid w:val="006E7EA9"/>
    <w:rsid w:val="006F02AD"/>
    <w:rsid w:val="006F0BA5"/>
    <w:rsid w:val="006F1245"/>
    <w:rsid w:val="006F138A"/>
    <w:rsid w:val="006F16AA"/>
    <w:rsid w:val="006F1918"/>
    <w:rsid w:val="006F245E"/>
    <w:rsid w:val="006F3212"/>
    <w:rsid w:val="006F349D"/>
    <w:rsid w:val="006F37DF"/>
    <w:rsid w:val="006F40CC"/>
    <w:rsid w:val="006F4382"/>
    <w:rsid w:val="006F4A1E"/>
    <w:rsid w:val="006F63CD"/>
    <w:rsid w:val="006F670A"/>
    <w:rsid w:val="006F69CF"/>
    <w:rsid w:val="006F6A92"/>
    <w:rsid w:val="006F6C80"/>
    <w:rsid w:val="00700A1C"/>
    <w:rsid w:val="0070171D"/>
    <w:rsid w:val="007018FF"/>
    <w:rsid w:val="00701B4F"/>
    <w:rsid w:val="00702027"/>
    <w:rsid w:val="007022BE"/>
    <w:rsid w:val="00702490"/>
    <w:rsid w:val="007025BC"/>
    <w:rsid w:val="00702D16"/>
    <w:rsid w:val="00702E10"/>
    <w:rsid w:val="00703173"/>
    <w:rsid w:val="00703E4E"/>
    <w:rsid w:val="0070450A"/>
    <w:rsid w:val="0070483D"/>
    <w:rsid w:val="007048A8"/>
    <w:rsid w:val="00705CF0"/>
    <w:rsid w:val="00705D24"/>
    <w:rsid w:val="0070621E"/>
    <w:rsid w:val="00706479"/>
    <w:rsid w:val="007064D3"/>
    <w:rsid w:val="00707453"/>
    <w:rsid w:val="00707F7A"/>
    <w:rsid w:val="00710AB2"/>
    <w:rsid w:val="007117AC"/>
    <w:rsid w:val="00711B02"/>
    <w:rsid w:val="00711CAE"/>
    <w:rsid w:val="00712385"/>
    <w:rsid w:val="00713E64"/>
    <w:rsid w:val="007140E2"/>
    <w:rsid w:val="00714603"/>
    <w:rsid w:val="00714867"/>
    <w:rsid w:val="00715270"/>
    <w:rsid w:val="007203ED"/>
    <w:rsid w:val="007205D7"/>
    <w:rsid w:val="00720926"/>
    <w:rsid w:val="00720C24"/>
    <w:rsid w:val="00720E00"/>
    <w:rsid w:val="0072172C"/>
    <w:rsid w:val="007222C3"/>
    <w:rsid w:val="00722950"/>
    <w:rsid w:val="00722E0B"/>
    <w:rsid w:val="00723001"/>
    <w:rsid w:val="007232E5"/>
    <w:rsid w:val="00723631"/>
    <w:rsid w:val="00724144"/>
    <w:rsid w:val="007241FB"/>
    <w:rsid w:val="00725EF1"/>
    <w:rsid w:val="00727317"/>
    <w:rsid w:val="007279BD"/>
    <w:rsid w:val="00727AB9"/>
    <w:rsid w:val="00727AEA"/>
    <w:rsid w:val="00727D30"/>
    <w:rsid w:val="0073017F"/>
    <w:rsid w:val="00731674"/>
    <w:rsid w:val="00731849"/>
    <w:rsid w:val="007319F9"/>
    <w:rsid w:val="00731A10"/>
    <w:rsid w:val="00733B7A"/>
    <w:rsid w:val="00733BD6"/>
    <w:rsid w:val="0073499C"/>
    <w:rsid w:val="00734E4B"/>
    <w:rsid w:val="00734EAB"/>
    <w:rsid w:val="00734EB3"/>
    <w:rsid w:val="0073665A"/>
    <w:rsid w:val="00736CF8"/>
    <w:rsid w:val="0073779D"/>
    <w:rsid w:val="00737E0C"/>
    <w:rsid w:val="00737F23"/>
    <w:rsid w:val="0074084F"/>
    <w:rsid w:val="00741081"/>
    <w:rsid w:val="00741F72"/>
    <w:rsid w:val="00743270"/>
    <w:rsid w:val="00743414"/>
    <w:rsid w:val="007440D1"/>
    <w:rsid w:val="00744745"/>
    <w:rsid w:val="00744D45"/>
    <w:rsid w:val="00744E1B"/>
    <w:rsid w:val="007451DC"/>
    <w:rsid w:val="00745790"/>
    <w:rsid w:val="00745E9E"/>
    <w:rsid w:val="00747EC2"/>
    <w:rsid w:val="0075019E"/>
    <w:rsid w:val="00750D23"/>
    <w:rsid w:val="007514ED"/>
    <w:rsid w:val="00751A69"/>
    <w:rsid w:val="0075287B"/>
    <w:rsid w:val="00753140"/>
    <w:rsid w:val="0075327C"/>
    <w:rsid w:val="0075376C"/>
    <w:rsid w:val="00753D61"/>
    <w:rsid w:val="00753DF0"/>
    <w:rsid w:val="00753E5C"/>
    <w:rsid w:val="00754230"/>
    <w:rsid w:val="0075569B"/>
    <w:rsid w:val="007559BC"/>
    <w:rsid w:val="007559F0"/>
    <w:rsid w:val="00755FF0"/>
    <w:rsid w:val="0075610B"/>
    <w:rsid w:val="00756178"/>
    <w:rsid w:val="00756CC7"/>
    <w:rsid w:val="007571A8"/>
    <w:rsid w:val="0076072E"/>
    <w:rsid w:val="0076146E"/>
    <w:rsid w:val="00761A14"/>
    <w:rsid w:val="007626F7"/>
    <w:rsid w:val="00763FB1"/>
    <w:rsid w:val="007643B9"/>
    <w:rsid w:val="00764520"/>
    <w:rsid w:val="0076476F"/>
    <w:rsid w:val="00765115"/>
    <w:rsid w:val="00765E85"/>
    <w:rsid w:val="00765F31"/>
    <w:rsid w:val="007663C3"/>
    <w:rsid w:val="00766940"/>
    <w:rsid w:val="00767837"/>
    <w:rsid w:val="0076793E"/>
    <w:rsid w:val="0077003E"/>
    <w:rsid w:val="007702F3"/>
    <w:rsid w:val="00771367"/>
    <w:rsid w:val="007714AD"/>
    <w:rsid w:val="00771D83"/>
    <w:rsid w:val="00772881"/>
    <w:rsid w:val="00773DE9"/>
    <w:rsid w:val="007753FB"/>
    <w:rsid w:val="007754A7"/>
    <w:rsid w:val="00776BB7"/>
    <w:rsid w:val="007770FE"/>
    <w:rsid w:val="007778F1"/>
    <w:rsid w:val="00777F98"/>
    <w:rsid w:val="00780069"/>
    <w:rsid w:val="00780418"/>
    <w:rsid w:val="0078127F"/>
    <w:rsid w:val="0078155F"/>
    <w:rsid w:val="007825DE"/>
    <w:rsid w:val="007828D8"/>
    <w:rsid w:val="00783643"/>
    <w:rsid w:val="0078391A"/>
    <w:rsid w:val="0078433C"/>
    <w:rsid w:val="00784FCE"/>
    <w:rsid w:val="00784FFC"/>
    <w:rsid w:val="00785492"/>
    <w:rsid w:val="00786741"/>
    <w:rsid w:val="00787E6A"/>
    <w:rsid w:val="00790322"/>
    <w:rsid w:val="0079045A"/>
    <w:rsid w:val="00790E66"/>
    <w:rsid w:val="00791B5A"/>
    <w:rsid w:val="00792338"/>
    <w:rsid w:val="007925F1"/>
    <w:rsid w:val="00792BDC"/>
    <w:rsid w:val="007942C1"/>
    <w:rsid w:val="00794D49"/>
    <w:rsid w:val="007951CF"/>
    <w:rsid w:val="00795920"/>
    <w:rsid w:val="00795E18"/>
    <w:rsid w:val="0079612C"/>
    <w:rsid w:val="00796218"/>
    <w:rsid w:val="007962B9"/>
    <w:rsid w:val="00797E06"/>
    <w:rsid w:val="007A01B3"/>
    <w:rsid w:val="007A0310"/>
    <w:rsid w:val="007A0CBD"/>
    <w:rsid w:val="007A1455"/>
    <w:rsid w:val="007A1632"/>
    <w:rsid w:val="007A16A9"/>
    <w:rsid w:val="007A2165"/>
    <w:rsid w:val="007A2864"/>
    <w:rsid w:val="007A2CB9"/>
    <w:rsid w:val="007A4269"/>
    <w:rsid w:val="007A4566"/>
    <w:rsid w:val="007A473D"/>
    <w:rsid w:val="007A4FE8"/>
    <w:rsid w:val="007A525C"/>
    <w:rsid w:val="007A54FD"/>
    <w:rsid w:val="007A583C"/>
    <w:rsid w:val="007A5C55"/>
    <w:rsid w:val="007A5C56"/>
    <w:rsid w:val="007A5E1E"/>
    <w:rsid w:val="007A6551"/>
    <w:rsid w:val="007A6650"/>
    <w:rsid w:val="007A6813"/>
    <w:rsid w:val="007A6936"/>
    <w:rsid w:val="007A7C1A"/>
    <w:rsid w:val="007A7CD1"/>
    <w:rsid w:val="007B07E5"/>
    <w:rsid w:val="007B0A40"/>
    <w:rsid w:val="007B0F18"/>
    <w:rsid w:val="007B0FBE"/>
    <w:rsid w:val="007B2CFE"/>
    <w:rsid w:val="007B3944"/>
    <w:rsid w:val="007B3A12"/>
    <w:rsid w:val="007B5D98"/>
    <w:rsid w:val="007B5FB7"/>
    <w:rsid w:val="007B64F6"/>
    <w:rsid w:val="007B6D48"/>
    <w:rsid w:val="007B7143"/>
    <w:rsid w:val="007C0EC3"/>
    <w:rsid w:val="007C11FC"/>
    <w:rsid w:val="007C12E4"/>
    <w:rsid w:val="007C2257"/>
    <w:rsid w:val="007C2B97"/>
    <w:rsid w:val="007C3530"/>
    <w:rsid w:val="007C3881"/>
    <w:rsid w:val="007C3E23"/>
    <w:rsid w:val="007C4051"/>
    <w:rsid w:val="007C5035"/>
    <w:rsid w:val="007C57B9"/>
    <w:rsid w:val="007C58E4"/>
    <w:rsid w:val="007C617F"/>
    <w:rsid w:val="007C7403"/>
    <w:rsid w:val="007D1DE8"/>
    <w:rsid w:val="007D2925"/>
    <w:rsid w:val="007D2D12"/>
    <w:rsid w:val="007D2D2F"/>
    <w:rsid w:val="007D2F74"/>
    <w:rsid w:val="007D2F93"/>
    <w:rsid w:val="007D368D"/>
    <w:rsid w:val="007D36A0"/>
    <w:rsid w:val="007D4020"/>
    <w:rsid w:val="007D4184"/>
    <w:rsid w:val="007D4AD5"/>
    <w:rsid w:val="007D4C2F"/>
    <w:rsid w:val="007D4DF6"/>
    <w:rsid w:val="007D55DF"/>
    <w:rsid w:val="007E036B"/>
    <w:rsid w:val="007E0426"/>
    <w:rsid w:val="007E1569"/>
    <w:rsid w:val="007E1CEC"/>
    <w:rsid w:val="007E217B"/>
    <w:rsid w:val="007E2682"/>
    <w:rsid w:val="007E3446"/>
    <w:rsid w:val="007E34C1"/>
    <w:rsid w:val="007E375B"/>
    <w:rsid w:val="007E396E"/>
    <w:rsid w:val="007E3A20"/>
    <w:rsid w:val="007E3ECF"/>
    <w:rsid w:val="007E44EC"/>
    <w:rsid w:val="007E451E"/>
    <w:rsid w:val="007E45C3"/>
    <w:rsid w:val="007E4FE7"/>
    <w:rsid w:val="007E54F4"/>
    <w:rsid w:val="007E5AEC"/>
    <w:rsid w:val="007E5E93"/>
    <w:rsid w:val="007E62AD"/>
    <w:rsid w:val="007E74AC"/>
    <w:rsid w:val="007E7733"/>
    <w:rsid w:val="007E7BA6"/>
    <w:rsid w:val="007F02B8"/>
    <w:rsid w:val="007F08F4"/>
    <w:rsid w:val="007F1491"/>
    <w:rsid w:val="007F1508"/>
    <w:rsid w:val="007F17CE"/>
    <w:rsid w:val="007F1949"/>
    <w:rsid w:val="007F19E1"/>
    <w:rsid w:val="007F2485"/>
    <w:rsid w:val="007F2762"/>
    <w:rsid w:val="007F27A7"/>
    <w:rsid w:val="007F2833"/>
    <w:rsid w:val="007F28B6"/>
    <w:rsid w:val="007F2C2F"/>
    <w:rsid w:val="007F3748"/>
    <w:rsid w:val="007F37A2"/>
    <w:rsid w:val="007F3A58"/>
    <w:rsid w:val="007F4235"/>
    <w:rsid w:val="007F4263"/>
    <w:rsid w:val="007F51E0"/>
    <w:rsid w:val="007F6006"/>
    <w:rsid w:val="007F64FE"/>
    <w:rsid w:val="007F6DE5"/>
    <w:rsid w:val="007F74AF"/>
    <w:rsid w:val="007F7C40"/>
    <w:rsid w:val="008009C5"/>
    <w:rsid w:val="00800D68"/>
    <w:rsid w:val="008011E0"/>
    <w:rsid w:val="00801839"/>
    <w:rsid w:val="0080191F"/>
    <w:rsid w:val="00802E11"/>
    <w:rsid w:val="008030B2"/>
    <w:rsid w:val="008044FD"/>
    <w:rsid w:val="00804D3A"/>
    <w:rsid w:val="008050F5"/>
    <w:rsid w:val="00805120"/>
    <w:rsid w:val="00805464"/>
    <w:rsid w:val="00805929"/>
    <w:rsid w:val="00805AB7"/>
    <w:rsid w:val="0080715E"/>
    <w:rsid w:val="00810018"/>
    <w:rsid w:val="00810AE9"/>
    <w:rsid w:val="00810B03"/>
    <w:rsid w:val="008110BC"/>
    <w:rsid w:val="008116EF"/>
    <w:rsid w:val="008122AD"/>
    <w:rsid w:val="008126B1"/>
    <w:rsid w:val="008129E9"/>
    <w:rsid w:val="00812FBC"/>
    <w:rsid w:val="00813358"/>
    <w:rsid w:val="00813654"/>
    <w:rsid w:val="00813E88"/>
    <w:rsid w:val="00814638"/>
    <w:rsid w:val="00814BF6"/>
    <w:rsid w:val="00814DEC"/>
    <w:rsid w:val="0081683C"/>
    <w:rsid w:val="00816944"/>
    <w:rsid w:val="00817388"/>
    <w:rsid w:val="0081740E"/>
    <w:rsid w:val="008174E1"/>
    <w:rsid w:val="008175B6"/>
    <w:rsid w:val="00817ABD"/>
    <w:rsid w:val="00817E8F"/>
    <w:rsid w:val="00817FA1"/>
    <w:rsid w:val="008209EF"/>
    <w:rsid w:val="00820DBF"/>
    <w:rsid w:val="008222F0"/>
    <w:rsid w:val="00823BE6"/>
    <w:rsid w:val="00824EB6"/>
    <w:rsid w:val="00825B92"/>
    <w:rsid w:val="00825FCE"/>
    <w:rsid w:val="008264D2"/>
    <w:rsid w:val="0082671A"/>
    <w:rsid w:val="00827B51"/>
    <w:rsid w:val="00827D11"/>
    <w:rsid w:val="00827E6E"/>
    <w:rsid w:val="008306AC"/>
    <w:rsid w:val="0083146D"/>
    <w:rsid w:val="008318C1"/>
    <w:rsid w:val="00831BD6"/>
    <w:rsid w:val="00833CB2"/>
    <w:rsid w:val="008343EF"/>
    <w:rsid w:val="00834B59"/>
    <w:rsid w:val="00834C4C"/>
    <w:rsid w:val="00834FBC"/>
    <w:rsid w:val="00835138"/>
    <w:rsid w:val="00836467"/>
    <w:rsid w:val="008366F1"/>
    <w:rsid w:val="00837FCF"/>
    <w:rsid w:val="008401E8"/>
    <w:rsid w:val="0084064D"/>
    <w:rsid w:val="00841297"/>
    <w:rsid w:val="00841D28"/>
    <w:rsid w:val="008421BA"/>
    <w:rsid w:val="00844159"/>
    <w:rsid w:val="008442F4"/>
    <w:rsid w:val="008464B8"/>
    <w:rsid w:val="00847C2F"/>
    <w:rsid w:val="00847CD2"/>
    <w:rsid w:val="008514C9"/>
    <w:rsid w:val="00851A08"/>
    <w:rsid w:val="0085229D"/>
    <w:rsid w:val="008524EA"/>
    <w:rsid w:val="008527C2"/>
    <w:rsid w:val="008527DA"/>
    <w:rsid w:val="008535B8"/>
    <w:rsid w:val="00853DCF"/>
    <w:rsid w:val="00854030"/>
    <w:rsid w:val="00855964"/>
    <w:rsid w:val="00855A8A"/>
    <w:rsid w:val="00856041"/>
    <w:rsid w:val="00857163"/>
    <w:rsid w:val="008573DF"/>
    <w:rsid w:val="00857712"/>
    <w:rsid w:val="00857716"/>
    <w:rsid w:val="008601B7"/>
    <w:rsid w:val="0086159D"/>
    <w:rsid w:val="00861CA6"/>
    <w:rsid w:val="008624B4"/>
    <w:rsid w:val="0086262A"/>
    <w:rsid w:val="00862AED"/>
    <w:rsid w:val="00862BD4"/>
    <w:rsid w:val="00863187"/>
    <w:rsid w:val="00863647"/>
    <w:rsid w:val="00863E57"/>
    <w:rsid w:val="00864615"/>
    <w:rsid w:val="00864E82"/>
    <w:rsid w:val="008665BE"/>
    <w:rsid w:val="00870327"/>
    <w:rsid w:val="00870FA6"/>
    <w:rsid w:val="008713A8"/>
    <w:rsid w:val="008729D4"/>
    <w:rsid w:val="00872D4D"/>
    <w:rsid w:val="00872D65"/>
    <w:rsid w:val="008733F4"/>
    <w:rsid w:val="0087392B"/>
    <w:rsid w:val="00874205"/>
    <w:rsid w:val="00874284"/>
    <w:rsid w:val="00874477"/>
    <w:rsid w:val="008758C5"/>
    <w:rsid w:val="00875A1C"/>
    <w:rsid w:val="00875DF8"/>
    <w:rsid w:val="00877061"/>
    <w:rsid w:val="008805D8"/>
    <w:rsid w:val="0088094D"/>
    <w:rsid w:val="00881C74"/>
    <w:rsid w:val="00882714"/>
    <w:rsid w:val="0088371B"/>
    <w:rsid w:val="008840C0"/>
    <w:rsid w:val="00884FEC"/>
    <w:rsid w:val="00885B25"/>
    <w:rsid w:val="00885DEE"/>
    <w:rsid w:val="00885F72"/>
    <w:rsid w:val="0088625D"/>
    <w:rsid w:val="00886573"/>
    <w:rsid w:val="00886FFC"/>
    <w:rsid w:val="00890363"/>
    <w:rsid w:val="00890968"/>
    <w:rsid w:val="008911E9"/>
    <w:rsid w:val="008912F3"/>
    <w:rsid w:val="00891739"/>
    <w:rsid w:val="00891C1C"/>
    <w:rsid w:val="0089282B"/>
    <w:rsid w:val="00892A05"/>
    <w:rsid w:val="00892EEF"/>
    <w:rsid w:val="008931D3"/>
    <w:rsid w:val="00893248"/>
    <w:rsid w:val="0089355B"/>
    <w:rsid w:val="00893A0F"/>
    <w:rsid w:val="00893A3D"/>
    <w:rsid w:val="00893F71"/>
    <w:rsid w:val="0089422B"/>
    <w:rsid w:val="008942D2"/>
    <w:rsid w:val="00894DB6"/>
    <w:rsid w:val="00895318"/>
    <w:rsid w:val="0089567F"/>
    <w:rsid w:val="00895E85"/>
    <w:rsid w:val="008965B8"/>
    <w:rsid w:val="00896C43"/>
    <w:rsid w:val="00896FA0"/>
    <w:rsid w:val="008A04D6"/>
    <w:rsid w:val="008A0D94"/>
    <w:rsid w:val="008A2292"/>
    <w:rsid w:val="008A24A0"/>
    <w:rsid w:val="008A25A6"/>
    <w:rsid w:val="008A288B"/>
    <w:rsid w:val="008A3C17"/>
    <w:rsid w:val="008A42B8"/>
    <w:rsid w:val="008A4328"/>
    <w:rsid w:val="008A4E54"/>
    <w:rsid w:val="008A5E6B"/>
    <w:rsid w:val="008A5F70"/>
    <w:rsid w:val="008A6956"/>
    <w:rsid w:val="008A6A70"/>
    <w:rsid w:val="008A6C38"/>
    <w:rsid w:val="008A7156"/>
    <w:rsid w:val="008A791E"/>
    <w:rsid w:val="008A79DF"/>
    <w:rsid w:val="008A79F8"/>
    <w:rsid w:val="008A7FFD"/>
    <w:rsid w:val="008B019A"/>
    <w:rsid w:val="008B0C08"/>
    <w:rsid w:val="008B0EFD"/>
    <w:rsid w:val="008B1620"/>
    <w:rsid w:val="008B199F"/>
    <w:rsid w:val="008B1A1C"/>
    <w:rsid w:val="008B28B3"/>
    <w:rsid w:val="008B367F"/>
    <w:rsid w:val="008B38DD"/>
    <w:rsid w:val="008B4205"/>
    <w:rsid w:val="008B44AB"/>
    <w:rsid w:val="008B498E"/>
    <w:rsid w:val="008B54EC"/>
    <w:rsid w:val="008B5B88"/>
    <w:rsid w:val="008B5C34"/>
    <w:rsid w:val="008B614A"/>
    <w:rsid w:val="008B699D"/>
    <w:rsid w:val="008B6D84"/>
    <w:rsid w:val="008B7011"/>
    <w:rsid w:val="008B7146"/>
    <w:rsid w:val="008B74CD"/>
    <w:rsid w:val="008C0749"/>
    <w:rsid w:val="008C121B"/>
    <w:rsid w:val="008C127B"/>
    <w:rsid w:val="008C15A3"/>
    <w:rsid w:val="008C170F"/>
    <w:rsid w:val="008C1D04"/>
    <w:rsid w:val="008C20DD"/>
    <w:rsid w:val="008C22F4"/>
    <w:rsid w:val="008C2A6D"/>
    <w:rsid w:val="008C30CA"/>
    <w:rsid w:val="008C3437"/>
    <w:rsid w:val="008C40EF"/>
    <w:rsid w:val="008C4135"/>
    <w:rsid w:val="008C4B45"/>
    <w:rsid w:val="008C51A5"/>
    <w:rsid w:val="008C53CF"/>
    <w:rsid w:val="008C57F4"/>
    <w:rsid w:val="008C5E42"/>
    <w:rsid w:val="008C675D"/>
    <w:rsid w:val="008C67F4"/>
    <w:rsid w:val="008C6B42"/>
    <w:rsid w:val="008C6BBC"/>
    <w:rsid w:val="008C723F"/>
    <w:rsid w:val="008C735E"/>
    <w:rsid w:val="008C78F3"/>
    <w:rsid w:val="008C7D1C"/>
    <w:rsid w:val="008D0AAA"/>
    <w:rsid w:val="008D160C"/>
    <w:rsid w:val="008D2102"/>
    <w:rsid w:val="008D2175"/>
    <w:rsid w:val="008D2407"/>
    <w:rsid w:val="008D355B"/>
    <w:rsid w:val="008D3918"/>
    <w:rsid w:val="008D3ADB"/>
    <w:rsid w:val="008D41A2"/>
    <w:rsid w:val="008D534F"/>
    <w:rsid w:val="008D5577"/>
    <w:rsid w:val="008D6043"/>
    <w:rsid w:val="008D690F"/>
    <w:rsid w:val="008D69E6"/>
    <w:rsid w:val="008D76F5"/>
    <w:rsid w:val="008D7CC8"/>
    <w:rsid w:val="008E056D"/>
    <w:rsid w:val="008E12F2"/>
    <w:rsid w:val="008E145E"/>
    <w:rsid w:val="008E1FE9"/>
    <w:rsid w:val="008E243A"/>
    <w:rsid w:val="008E2635"/>
    <w:rsid w:val="008E26D3"/>
    <w:rsid w:val="008E322A"/>
    <w:rsid w:val="008E3248"/>
    <w:rsid w:val="008E3552"/>
    <w:rsid w:val="008E3640"/>
    <w:rsid w:val="008E38CE"/>
    <w:rsid w:val="008E38DE"/>
    <w:rsid w:val="008E3D47"/>
    <w:rsid w:val="008E3FBE"/>
    <w:rsid w:val="008E40CB"/>
    <w:rsid w:val="008E4C43"/>
    <w:rsid w:val="008E50E0"/>
    <w:rsid w:val="008E5336"/>
    <w:rsid w:val="008E5E5C"/>
    <w:rsid w:val="008E6352"/>
    <w:rsid w:val="008E686E"/>
    <w:rsid w:val="008E688A"/>
    <w:rsid w:val="008E7136"/>
    <w:rsid w:val="008E7A11"/>
    <w:rsid w:val="008F00D4"/>
    <w:rsid w:val="008F1C09"/>
    <w:rsid w:val="008F29ED"/>
    <w:rsid w:val="008F2B48"/>
    <w:rsid w:val="008F366E"/>
    <w:rsid w:val="008F3E77"/>
    <w:rsid w:val="008F4E27"/>
    <w:rsid w:val="008F5640"/>
    <w:rsid w:val="008F597C"/>
    <w:rsid w:val="008F607E"/>
    <w:rsid w:val="008F76A6"/>
    <w:rsid w:val="008F76D2"/>
    <w:rsid w:val="008F7F02"/>
    <w:rsid w:val="009009F1"/>
    <w:rsid w:val="00900B47"/>
    <w:rsid w:val="00900E2D"/>
    <w:rsid w:val="00900ED3"/>
    <w:rsid w:val="00901015"/>
    <w:rsid w:val="00901092"/>
    <w:rsid w:val="00901CB7"/>
    <w:rsid w:val="009024A8"/>
    <w:rsid w:val="0090265E"/>
    <w:rsid w:val="00903073"/>
    <w:rsid w:val="00903204"/>
    <w:rsid w:val="00904866"/>
    <w:rsid w:val="00905469"/>
    <w:rsid w:val="00905AA6"/>
    <w:rsid w:val="00905ED5"/>
    <w:rsid w:val="00906338"/>
    <w:rsid w:val="00910C20"/>
    <w:rsid w:val="00910EA0"/>
    <w:rsid w:val="0091123A"/>
    <w:rsid w:val="0091182C"/>
    <w:rsid w:val="00912633"/>
    <w:rsid w:val="009143E9"/>
    <w:rsid w:val="00914540"/>
    <w:rsid w:val="00914567"/>
    <w:rsid w:val="0091593E"/>
    <w:rsid w:val="00915C32"/>
    <w:rsid w:val="00915E0D"/>
    <w:rsid w:val="00916A3F"/>
    <w:rsid w:val="00916CFD"/>
    <w:rsid w:val="00917FFB"/>
    <w:rsid w:val="009206FC"/>
    <w:rsid w:val="0092078F"/>
    <w:rsid w:val="0092089A"/>
    <w:rsid w:val="00920A18"/>
    <w:rsid w:val="00920EBF"/>
    <w:rsid w:val="00920F1A"/>
    <w:rsid w:val="00921415"/>
    <w:rsid w:val="00921A03"/>
    <w:rsid w:val="009220BE"/>
    <w:rsid w:val="00922192"/>
    <w:rsid w:val="00922A68"/>
    <w:rsid w:val="00923068"/>
    <w:rsid w:val="00923A00"/>
    <w:rsid w:val="00924D50"/>
    <w:rsid w:val="00924F43"/>
    <w:rsid w:val="00926020"/>
    <w:rsid w:val="0092628A"/>
    <w:rsid w:val="0092688E"/>
    <w:rsid w:val="00926DE4"/>
    <w:rsid w:val="00927363"/>
    <w:rsid w:val="009274F8"/>
    <w:rsid w:val="009309BD"/>
    <w:rsid w:val="009310C0"/>
    <w:rsid w:val="009310C4"/>
    <w:rsid w:val="009322EE"/>
    <w:rsid w:val="00932AE6"/>
    <w:rsid w:val="00932BDC"/>
    <w:rsid w:val="0093324C"/>
    <w:rsid w:val="00933645"/>
    <w:rsid w:val="009337FE"/>
    <w:rsid w:val="0093421A"/>
    <w:rsid w:val="0093530E"/>
    <w:rsid w:val="00935442"/>
    <w:rsid w:val="00935748"/>
    <w:rsid w:val="00936237"/>
    <w:rsid w:val="009366AA"/>
    <w:rsid w:val="0093670A"/>
    <w:rsid w:val="00936A31"/>
    <w:rsid w:val="00937121"/>
    <w:rsid w:val="009372C1"/>
    <w:rsid w:val="00937807"/>
    <w:rsid w:val="00937B86"/>
    <w:rsid w:val="00940289"/>
    <w:rsid w:val="009402EE"/>
    <w:rsid w:val="00941201"/>
    <w:rsid w:val="00941B41"/>
    <w:rsid w:val="00941F01"/>
    <w:rsid w:val="009425F4"/>
    <w:rsid w:val="00942655"/>
    <w:rsid w:val="00942695"/>
    <w:rsid w:val="00942707"/>
    <w:rsid w:val="009430FD"/>
    <w:rsid w:val="00943C71"/>
    <w:rsid w:val="00943E6B"/>
    <w:rsid w:val="009447A2"/>
    <w:rsid w:val="0094508D"/>
    <w:rsid w:val="009454CA"/>
    <w:rsid w:val="00945718"/>
    <w:rsid w:val="009462B5"/>
    <w:rsid w:val="0094686F"/>
    <w:rsid w:val="00946E16"/>
    <w:rsid w:val="00947C3A"/>
    <w:rsid w:val="00950742"/>
    <w:rsid w:val="00951481"/>
    <w:rsid w:val="00951C33"/>
    <w:rsid w:val="00951CAD"/>
    <w:rsid w:val="00952109"/>
    <w:rsid w:val="00952A4B"/>
    <w:rsid w:val="00952D71"/>
    <w:rsid w:val="00953387"/>
    <w:rsid w:val="00953E33"/>
    <w:rsid w:val="00953E50"/>
    <w:rsid w:val="0095442A"/>
    <w:rsid w:val="009546CE"/>
    <w:rsid w:val="00954F3E"/>
    <w:rsid w:val="0095582F"/>
    <w:rsid w:val="00955D17"/>
    <w:rsid w:val="00956123"/>
    <w:rsid w:val="009562D5"/>
    <w:rsid w:val="0095656F"/>
    <w:rsid w:val="00956A88"/>
    <w:rsid w:val="00956CB0"/>
    <w:rsid w:val="00956EA0"/>
    <w:rsid w:val="0095710F"/>
    <w:rsid w:val="00960166"/>
    <w:rsid w:val="009604E1"/>
    <w:rsid w:val="00961ADD"/>
    <w:rsid w:val="00961E3E"/>
    <w:rsid w:val="00962655"/>
    <w:rsid w:val="00962B12"/>
    <w:rsid w:val="00963A64"/>
    <w:rsid w:val="00963D31"/>
    <w:rsid w:val="00964E30"/>
    <w:rsid w:val="0096547D"/>
    <w:rsid w:val="00965F61"/>
    <w:rsid w:val="009662E5"/>
    <w:rsid w:val="00970513"/>
    <w:rsid w:val="00970DD5"/>
    <w:rsid w:val="00970E16"/>
    <w:rsid w:val="009710A4"/>
    <w:rsid w:val="00971370"/>
    <w:rsid w:val="00972508"/>
    <w:rsid w:val="00972B12"/>
    <w:rsid w:val="00974AA6"/>
    <w:rsid w:val="00974CC4"/>
    <w:rsid w:val="00974F09"/>
    <w:rsid w:val="00974F80"/>
    <w:rsid w:val="00976782"/>
    <w:rsid w:val="00977595"/>
    <w:rsid w:val="00981A32"/>
    <w:rsid w:val="009835E2"/>
    <w:rsid w:val="00983C70"/>
    <w:rsid w:val="00983D1A"/>
    <w:rsid w:val="009842E3"/>
    <w:rsid w:val="009846C8"/>
    <w:rsid w:val="00984D0E"/>
    <w:rsid w:val="009850F8"/>
    <w:rsid w:val="00985655"/>
    <w:rsid w:val="00985790"/>
    <w:rsid w:val="00986771"/>
    <w:rsid w:val="00986956"/>
    <w:rsid w:val="00986991"/>
    <w:rsid w:val="009869BA"/>
    <w:rsid w:val="00986EFA"/>
    <w:rsid w:val="009870C5"/>
    <w:rsid w:val="00987107"/>
    <w:rsid w:val="009877D1"/>
    <w:rsid w:val="009907AE"/>
    <w:rsid w:val="00990B79"/>
    <w:rsid w:val="00991185"/>
    <w:rsid w:val="00991422"/>
    <w:rsid w:val="009916F7"/>
    <w:rsid w:val="00992476"/>
    <w:rsid w:val="009926E4"/>
    <w:rsid w:val="00992AB7"/>
    <w:rsid w:val="00992B53"/>
    <w:rsid w:val="00992D96"/>
    <w:rsid w:val="0099301F"/>
    <w:rsid w:val="0099371F"/>
    <w:rsid w:val="00993D81"/>
    <w:rsid w:val="00993FE4"/>
    <w:rsid w:val="00994518"/>
    <w:rsid w:val="009945AA"/>
    <w:rsid w:val="00994851"/>
    <w:rsid w:val="00994F29"/>
    <w:rsid w:val="00995F7F"/>
    <w:rsid w:val="009961D6"/>
    <w:rsid w:val="00996342"/>
    <w:rsid w:val="0099698C"/>
    <w:rsid w:val="00996AA7"/>
    <w:rsid w:val="0099714D"/>
    <w:rsid w:val="00997218"/>
    <w:rsid w:val="00997A1F"/>
    <w:rsid w:val="00997DDC"/>
    <w:rsid w:val="009A073F"/>
    <w:rsid w:val="009A0AAF"/>
    <w:rsid w:val="009A0E76"/>
    <w:rsid w:val="009A126B"/>
    <w:rsid w:val="009A148C"/>
    <w:rsid w:val="009A158C"/>
    <w:rsid w:val="009A1707"/>
    <w:rsid w:val="009A1A3C"/>
    <w:rsid w:val="009A1B6F"/>
    <w:rsid w:val="009A2208"/>
    <w:rsid w:val="009A241E"/>
    <w:rsid w:val="009A35DC"/>
    <w:rsid w:val="009A3CAE"/>
    <w:rsid w:val="009A3E95"/>
    <w:rsid w:val="009A4C0F"/>
    <w:rsid w:val="009A528E"/>
    <w:rsid w:val="009A5616"/>
    <w:rsid w:val="009A57CB"/>
    <w:rsid w:val="009A5950"/>
    <w:rsid w:val="009A6299"/>
    <w:rsid w:val="009A6DEF"/>
    <w:rsid w:val="009A764E"/>
    <w:rsid w:val="009A771A"/>
    <w:rsid w:val="009A78C1"/>
    <w:rsid w:val="009B07B9"/>
    <w:rsid w:val="009B0A4B"/>
    <w:rsid w:val="009B0FE0"/>
    <w:rsid w:val="009B104F"/>
    <w:rsid w:val="009B1848"/>
    <w:rsid w:val="009B2952"/>
    <w:rsid w:val="009B31C9"/>
    <w:rsid w:val="009B3B82"/>
    <w:rsid w:val="009B4410"/>
    <w:rsid w:val="009B4C3E"/>
    <w:rsid w:val="009B513F"/>
    <w:rsid w:val="009B55C7"/>
    <w:rsid w:val="009B5646"/>
    <w:rsid w:val="009B582E"/>
    <w:rsid w:val="009B5BFA"/>
    <w:rsid w:val="009B5F75"/>
    <w:rsid w:val="009B602E"/>
    <w:rsid w:val="009B6DC9"/>
    <w:rsid w:val="009B78F2"/>
    <w:rsid w:val="009C0025"/>
    <w:rsid w:val="009C138A"/>
    <w:rsid w:val="009C148E"/>
    <w:rsid w:val="009C2603"/>
    <w:rsid w:val="009C367C"/>
    <w:rsid w:val="009C3711"/>
    <w:rsid w:val="009C4042"/>
    <w:rsid w:val="009C4C14"/>
    <w:rsid w:val="009C59E6"/>
    <w:rsid w:val="009C5B67"/>
    <w:rsid w:val="009C5C89"/>
    <w:rsid w:val="009C61F8"/>
    <w:rsid w:val="009C642E"/>
    <w:rsid w:val="009C655F"/>
    <w:rsid w:val="009C67EF"/>
    <w:rsid w:val="009C780F"/>
    <w:rsid w:val="009C7A14"/>
    <w:rsid w:val="009D00D1"/>
    <w:rsid w:val="009D0B9C"/>
    <w:rsid w:val="009D0CA6"/>
    <w:rsid w:val="009D106F"/>
    <w:rsid w:val="009D1E80"/>
    <w:rsid w:val="009D23E4"/>
    <w:rsid w:val="009D2800"/>
    <w:rsid w:val="009D34D0"/>
    <w:rsid w:val="009D35E3"/>
    <w:rsid w:val="009D361E"/>
    <w:rsid w:val="009D408F"/>
    <w:rsid w:val="009D4337"/>
    <w:rsid w:val="009D450B"/>
    <w:rsid w:val="009D4A8D"/>
    <w:rsid w:val="009D4E19"/>
    <w:rsid w:val="009D5814"/>
    <w:rsid w:val="009D675F"/>
    <w:rsid w:val="009D7560"/>
    <w:rsid w:val="009D7698"/>
    <w:rsid w:val="009D76F9"/>
    <w:rsid w:val="009D774B"/>
    <w:rsid w:val="009D7D4D"/>
    <w:rsid w:val="009E006E"/>
    <w:rsid w:val="009E057E"/>
    <w:rsid w:val="009E1695"/>
    <w:rsid w:val="009E19CE"/>
    <w:rsid w:val="009E2758"/>
    <w:rsid w:val="009E28B2"/>
    <w:rsid w:val="009E388F"/>
    <w:rsid w:val="009E3D66"/>
    <w:rsid w:val="009E3EFF"/>
    <w:rsid w:val="009E4865"/>
    <w:rsid w:val="009E5042"/>
    <w:rsid w:val="009E5469"/>
    <w:rsid w:val="009E59D5"/>
    <w:rsid w:val="009E6EA8"/>
    <w:rsid w:val="009E7A32"/>
    <w:rsid w:val="009F0C10"/>
    <w:rsid w:val="009F0EAB"/>
    <w:rsid w:val="009F1C7F"/>
    <w:rsid w:val="009F1FB1"/>
    <w:rsid w:val="009F2234"/>
    <w:rsid w:val="009F2329"/>
    <w:rsid w:val="009F30CC"/>
    <w:rsid w:val="009F3E6A"/>
    <w:rsid w:val="009F4E97"/>
    <w:rsid w:val="009F5572"/>
    <w:rsid w:val="009F5EB9"/>
    <w:rsid w:val="009F692D"/>
    <w:rsid w:val="009F6CCA"/>
    <w:rsid w:val="00A01866"/>
    <w:rsid w:val="00A01DFC"/>
    <w:rsid w:val="00A02274"/>
    <w:rsid w:val="00A0483D"/>
    <w:rsid w:val="00A05455"/>
    <w:rsid w:val="00A059C5"/>
    <w:rsid w:val="00A05A89"/>
    <w:rsid w:val="00A05BE7"/>
    <w:rsid w:val="00A05FB3"/>
    <w:rsid w:val="00A0735D"/>
    <w:rsid w:val="00A07CD5"/>
    <w:rsid w:val="00A1023B"/>
    <w:rsid w:val="00A11766"/>
    <w:rsid w:val="00A11B08"/>
    <w:rsid w:val="00A11F47"/>
    <w:rsid w:val="00A12C66"/>
    <w:rsid w:val="00A12E6D"/>
    <w:rsid w:val="00A13EB3"/>
    <w:rsid w:val="00A15021"/>
    <w:rsid w:val="00A161C1"/>
    <w:rsid w:val="00A16239"/>
    <w:rsid w:val="00A17156"/>
    <w:rsid w:val="00A17781"/>
    <w:rsid w:val="00A20242"/>
    <w:rsid w:val="00A20310"/>
    <w:rsid w:val="00A240ED"/>
    <w:rsid w:val="00A2461F"/>
    <w:rsid w:val="00A247BF"/>
    <w:rsid w:val="00A25015"/>
    <w:rsid w:val="00A2531A"/>
    <w:rsid w:val="00A25B68"/>
    <w:rsid w:val="00A2603B"/>
    <w:rsid w:val="00A260E4"/>
    <w:rsid w:val="00A2676D"/>
    <w:rsid w:val="00A27187"/>
    <w:rsid w:val="00A271B5"/>
    <w:rsid w:val="00A274BB"/>
    <w:rsid w:val="00A27DE8"/>
    <w:rsid w:val="00A27E16"/>
    <w:rsid w:val="00A30E14"/>
    <w:rsid w:val="00A314CE"/>
    <w:rsid w:val="00A32411"/>
    <w:rsid w:val="00A324E0"/>
    <w:rsid w:val="00A33751"/>
    <w:rsid w:val="00A33CE2"/>
    <w:rsid w:val="00A34EC2"/>
    <w:rsid w:val="00A351FE"/>
    <w:rsid w:val="00A358D5"/>
    <w:rsid w:val="00A36340"/>
    <w:rsid w:val="00A37A30"/>
    <w:rsid w:val="00A40BD1"/>
    <w:rsid w:val="00A41819"/>
    <w:rsid w:val="00A41B8C"/>
    <w:rsid w:val="00A42731"/>
    <w:rsid w:val="00A42FA2"/>
    <w:rsid w:val="00A4316F"/>
    <w:rsid w:val="00A44177"/>
    <w:rsid w:val="00A44F4E"/>
    <w:rsid w:val="00A45A33"/>
    <w:rsid w:val="00A4669F"/>
    <w:rsid w:val="00A47D47"/>
    <w:rsid w:val="00A50F7B"/>
    <w:rsid w:val="00A51474"/>
    <w:rsid w:val="00A51561"/>
    <w:rsid w:val="00A51DA5"/>
    <w:rsid w:val="00A522B0"/>
    <w:rsid w:val="00A52619"/>
    <w:rsid w:val="00A52BD2"/>
    <w:rsid w:val="00A52E68"/>
    <w:rsid w:val="00A5472F"/>
    <w:rsid w:val="00A54DF5"/>
    <w:rsid w:val="00A55B58"/>
    <w:rsid w:val="00A56E3C"/>
    <w:rsid w:val="00A579AB"/>
    <w:rsid w:val="00A57ED4"/>
    <w:rsid w:val="00A60087"/>
    <w:rsid w:val="00A603E3"/>
    <w:rsid w:val="00A60BB1"/>
    <w:rsid w:val="00A6173E"/>
    <w:rsid w:val="00A62081"/>
    <w:rsid w:val="00A6256F"/>
    <w:rsid w:val="00A62948"/>
    <w:rsid w:val="00A63678"/>
    <w:rsid w:val="00A6372B"/>
    <w:rsid w:val="00A6444B"/>
    <w:rsid w:val="00A64758"/>
    <w:rsid w:val="00A648A0"/>
    <w:rsid w:val="00A64A87"/>
    <w:rsid w:val="00A65604"/>
    <w:rsid w:val="00A6591F"/>
    <w:rsid w:val="00A65995"/>
    <w:rsid w:val="00A65E35"/>
    <w:rsid w:val="00A65F31"/>
    <w:rsid w:val="00A66189"/>
    <w:rsid w:val="00A66405"/>
    <w:rsid w:val="00A665E5"/>
    <w:rsid w:val="00A666FC"/>
    <w:rsid w:val="00A7056E"/>
    <w:rsid w:val="00A70EF8"/>
    <w:rsid w:val="00A711FE"/>
    <w:rsid w:val="00A712FC"/>
    <w:rsid w:val="00A71CF1"/>
    <w:rsid w:val="00A736B4"/>
    <w:rsid w:val="00A73ED1"/>
    <w:rsid w:val="00A743F5"/>
    <w:rsid w:val="00A745A8"/>
    <w:rsid w:val="00A7494C"/>
    <w:rsid w:val="00A750F6"/>
    <w:rsid w:val="00A75573"/>
    <w:rsid w:val="00A77907"/>
    <w:rsid w:val="00A77EA1"/>
    <w:rsid w:val="00A8090F"/>
    <w:rsid w:val="00A8173D"/>
    <w:rsid w:val="00A81864"/>
    <w:rsid w:val="00A81FBF"/>
    <w:rsid w:val="00A82BE3"/>
    <w:rsid w:val="00A82DE4"/>
    <w:rsid w:val="00A83A06"/>
    <w:rsid w:val="00A83AD1"/>
    <w:rsid w:val="00A840D5"/>
    <w:rsid w:val="00A86862"/>
    <w:rsid w:val="00A86BC2"/>
    <w:rsid w:val="00A8784D"/>
    <w:rsid w:val="00A91339"/>
    <w:rsid w:val="00A9198E"/>
    <w:rsid w:val="00A9208D"/>
    <w:rsid w:val="00A922C9"/>
    <w:rsid w:val="00A92A6C"/>
    <w:rsid w:val="00A9343B"/>
    <w:rsid w:val="00A946CE"/>
    <w:rsid w:val="00A947A3"/>
    <w:rsid w:val="00A94D00"/>
    <w:rsid w:val="00A94E71"/>
    <w:rsid w:val="00A95045"/>
    <w:rsid w:val="00A950D7"/>
    <w:rsid w:val="00A95111"/>
    <w:rsid w:val="00A95224"/>
    <w:rsid w:val="00A95793"/>
    <w:rsid w:val="00A958B7"/>
    <w:rsid w:val="00A95FA1"/>
    <w:rsid w:val="00A963BA"/>
    <w:rsid w:val="00A965BD"/>
    <w:rsid w:val="00A96A72"/>
    <w:rsid w:val="00A97183"/>
    <w:rsid w:val="00A972EB"/>
    <w:rsid w:val="00AA071D"/>
    <w:rsid w:val="00AA0994"/>
    <w:rsid w:val="00AA0B5A"/>
    <w:rsid w:val="00AA1897"/>
    <w:rsid w:val="00AA1A32"/>
    <w:rsid w:val="00AA1B46"/>
    <w:rsid w:val="00AA217D"/>
    <w:rsid w:val="00AA2B19"/>
    <w:rsid w:val="00AA31A3"/>
    <w:rsid w:val="00AA360A"/>
    <w:rsid w:val="00AA3BB3"/>
    <w:rsid w:val="00AA3F3B"/>
    <w:rsid w:val="00AA4681"/>
    <w:rsid w:val="00AA4A6F"/>
    <w:rsid w:val="00AA4DCB"/>
    <w:rsid w:val="00AA522E"/>
    <w:rsid w:val="00AA5526"/>
    <w:rsid w:val="00AA5BFA"/>
    <w:rsid w:val="00AA6438"/>
    <w:rsid w:val="00AA6AD3"/>
    <w:rsid w:val="00AA7475"/>
    <w:rsid w:val="00AA7DC5"/>
    <w:rsid w:val="00AB10E6"/>
    <w:rsid w:val="00AB22BE"/>
    <w:rsid w:val="00AB2621"/>
    <w:rsid w:val="00AB2F08"/>
    <w:rsid w:val="00AB37D6"/>
    <w:rsid w:val="00AB3BAD"/>
    <w:rsid w:val="00AB3DF5"/>
    <w:rsid w:val="00AB4172"/>
    <w:rsid w:val="00AB4568"/>
    <w:rsid w:val="00AB46E2"/>
    <w:rsid w:val="00AB5672"/>
    <w:rsid w:val="00AB5C0F"/>
    <w:rsid w:val="00AB5E16"/>
    <w:rsid w:val="00AB6EF9"/>
    <w:rsid w:val="00AB7BAF"/>
    <w:rsid w:val="00AC0E30"/>
    <w:rsid w:val="00AC1F28"/>
    <w:rsid w:val="00AC4585"/>
    <w:rsid w:val="00AC4791"/>
    <w:rsid w:val="00AC47E2"/>
    <w:rsid w:val="00AC49EE"/>
    <w:rsid w:val="00AC51F3"/>
    <w:rsid w:val="00AC5230"/>
    <w:rsid w:val="00AC55BB"/>
    <w:rsid w:val="00AC66BC"/>
    <w:rsid w:val="00AC6A4D"/>
    <w:rsid w:val="00AC79AE"/>
    <w:rsid w:val="00AC7FBE"/>
    <w:rsid w:val="00AD0297"/>
    <w:rsid w:val="00AD1227"/>
    <w:rsid w:val="00AD15B5"/>
    <w:rsid w:val="00AD259A"/>
    <w:rsid w:val="00AD25C4"/>
    <w:rsid w:val="00AD34BF"/>
    <w:rsid w:val="00AD35CB"/>
    <w:rsid w:val="00AD416F"/>
    <w:rsid w:val="00AD5D57"/>
    <w:rsid w:val="00AD6015"/>
    <w:rsid w:val="00AD631B"/>
    <w:rsid w:val="00AD635A"/>
    <w:rsid w:val="00AD648C"/>
    <w:rsid w:val="00AD6DE9"/>
    <w:rsid w:val="00AD6F6D"/>
    <w:rsid w:val="00AD7108"/>
    <w:rsid w:val="00AE00E3"/>
    <w:rsid w:val="00AE03A0"/>
    <w:rsid w:val="00AE082D"/>
    <w:rsid w:val="00AE12BB"/>
    <w:rsid w:val="00AE1667"/>
    <w:rsid w:val="00AE1FC2"/>
    <w:rsid w:val="00AE2327"/>
    <w:rsid w:val="00AE28E4"/>
    <w:rsid w:val="00AE2C48"/>
    <w:rsid w:val="00AE35EA"/>
    <w:rsid w:val="00AE3BCE"/>
    <w:rsid w:val="00AE4487"/>
    <w:rsid w:val="00AE5131"/>
    <w:rsid w:val="00AE533E"/>
    <w:rsid w:val="00AE5D01"/>
    <w:rsid w:val="00AE64B7"/>
    <w:rsid w:val="00AE65E0"/>
    <w:rsid w:val="00AE7762"/>
    <w:rsid w:val="00AE7F7F"/>
    <w:rsid w:val="00AF01E7"/>
    <w:rsid w:val="00AF083C"/>
    <w:rsid w:val="00AF365C"/>
    <w:rsid w:val="00AF3B0A"/>
    <w:rsid w:val="00AF3B6C"/>
    <w:rsid w:val="00AF3BF6"/>
    <w:rsid w:val="00AF5A8D"/>
    <w:rsid w:val="00AF689F"/>
    <w:rsid w:val="00AF7487"/>
    <w:rsid w:val="00AF7DD3"/>
    <w:rsid w:val="00AF7EE3"/>
    <w:rsid w:val="00AF7F7E"/>
    <w:rsid w:val="00B01569"/>
    <w:rsid w:val="00B0235F"/>
    <w:rsid w:val="00B023A8"/>
    <w:rsid w:val="00B02E0A"/>
    <w:rsid w:val="00B02E54"/>
    <w:rsid w:val="00B03961"/>
    <w:rsid w:val="00B03E75"/>
    <w:rsid w:val="00B04802"/>
    <w:rsid w:val="00B05CAF"/>
    <w:rsid w:val="00B06AC1"/>
    <w:rsid w:val="00B07A78"/>
    <w:rsid w:val="00B121B0"/>
    <w:rsid w:val="00B121EF"/>
    <w:rsid w:val="00B13A7F"/>
    <w:rsid w:val="00B144AD"/>
    <w:rsid w:val="00B146EE"/>
    <w:rsid w:val="00B14932"/>
    <w:rsid w:val="00B14A04"/>
    <w:rsid w:val="00B14A39"/>
    <w:rsid w:val="00B153D9"/>
    <w:rsid w:val="00B156BA"/>
    <w:rsid w:val="00B15AF7"/>
    <w:rsid w:val="00B15CE2"/>
    <w:rsid w:val="00B161D5"/>
    <w:rsid w:val="00B1622E"/>
    <w:rsid w:val="00B16701"/>
    <w:rsid w:val="00B173AE"/>
    <w:rsid w:val="00B176BA"/>
    <w:rsid w:val="00B206F5"/>
    <w:rsid w:val="00B20AB3"/>
    <w:rsid w:val="00B20B30"/>
    <w:rsid w:val="00B20D28"/>
    <w:rsid w:val="00B21333"/>
    <w:rsid w:val="00B21C80"/>
    <w:rsid w:val="00B23557"/>
    <w:rsid w:val="00B236D2"/>
    <w:rsid w:val="00B23DD1"/>
    <w:rsid w:val="00B248A5"/>
    <w:rsid w:val="00B24CC3"/>
    <w:rsid w:val="00B24E41"/>
    <w:rsid w:val="00B24F46"/>
    <w:rsid w:val="00B257A6"/>
    <w:rsid w:val="00B25923"/>
    <w:rsid w:val="00B259F5"/>
    <w:rsid w:val="00B25B6D"/>
    <w:rsid w:val="00B26548"/>
    <w:rsid w:val="00B26D3C"/>
    <w:rsid w:val="00B26EA1"/>
    <w:rsid w:val="00B26F4A"/>
    <w:rsid w:val="00B27B02"/>
    <w:rsid w:val="00B301C3"/>
    <w:rsid w:val="00B307EB"/>
    <w:rsid w:val="00B30A1F"/>
    <w:rsid w:val="00B30A51"/>
    <w:rsid w:val="00B30C36"/>
    <w:rsid w:val="00B30D7B"/>
    <w:rsid w:val="00B3126F"/>
    <w:rsid w:val="00B3142D"/>
    <w:rsid w:val="00B316DF"/>
    <w:rsid w:val="00B31D80"/>
    <w:rsid w:val="00B31F47"/>
    <w:rsid w:val="00B34B89"/>
    <w:rsid w:val="00B35A4F"/>
    <w:rsid w:val="00B36333"/>
    <w:rsid w:val="00B36D99"/>
    <w:rsid w:val="00B36F1D"/>
    <w:rsid w:val="00B37F4B"/>
    <w:rsid w:val="00B40339"/>
    <w:rsid w:val="00B40392"/>
    <w:rsid w:val="00B4077F"/>
    <w:rsid w:val="00B40817"/>
    <w:rsid w:val="00B40B90"/>
    <w:rsid w:val="00B41C29"/>
    <w:rsid w:val="00B420B5"/>
    <w:rsid w:val="00B42290"/>
    <w:rsid w:val="00B4251E"/>
    <w:rsid w:val="00B42BFB"/>
    <w:rsid w:val="00B42C38"/>
    <w:rsid w:val="00B43BD7"/>
    <w:rsid w:val="00B444B1"/>
    <w:rsid w:val="00B45797"/>
    <w:rsid w:val="00B45B3C"/>
    <w:rsid w:val="00B45FBA"/>
    <w:rsid w:val="00B46241"/>
    <w:rsid w:val="00B46CE0"/>
    <w:rsid w:val="00B471F1"/>
    <w:rsid w:val="00B47EC7"/>
    <w:rsid w:val="00B50660"/>
    <w:rsid w:val="00B50C4A"/>
    <w:rsid w:val="00B50CAB"/>
    <w:rsid w:val="00B50F81"/>
    <w:rsid w:val="00B5118B"/>
    <w:rsid w:val="00B512A7"/>
    <w:rsid w:val="00B514DB"/>
    <w:rsid w:val="00B523AD"/>
    <w:rsid w:val="00B528ED"/>
    <w:rsid w:val="00B52FD9"/>
    <w:rsid w:val="00B5340E"/>
    <w:rsid w:val="00B536C8"/>
    <w:rsid w:val="00B5380B"/>
    <w:rsid w:val="00B54018"/>
    <w:rsid w:val="00B5510B"/>
    <w:rsid w:val="00B55756"/>
    <w:rsid w:val="00B55B26"/>
    <w:rsid w:val="00B57B9C"/>
    <w:rsid w:val="00B60145"/>
    <w:rsid w:val="00B6066C"/>
    <w:rsid w:val="00B60815"/>
    <w:rsid w:val="00B619F6"/>
    <w:rsid w:val="00B620E5"/>
    <w:rsid w:val="00B62B41"/>
    <w:rsid w:val="00B64048"/>
    <w:rsid w:val="00B642FE"/>
    <w:rsid w:val="00B660C3"/>
    <w:rsid w:val="00B661ED"/>
    <w:rsid w:val="00B664C4"/>
    <w:rsid w:val="00B66835"/>
    <w:rsid w:val="00B70789"/>
    <w:rsid w:val="00B708CE"/>
    <w:rsid w:val="00B70FD3"/>
    <w:rsid w:val="00B7141A"/>
    <w:rsid w:val="00B72D41"/>
    <w:rsid w:val="00B73010"/>
    <w:rsid w:val="00B73BFE"/>
    <w:rsid w:val="00B7432B"/>
    <w:rsid w:val="00B752BE"/>
    <w:rsid w:val="00B75521"/>
    <w:rsid w:val="00B7579B"/>
    <w:rsid w:val="00B75CE6"/>
    <w:rsid w:val="00B76646"/>
    <w:rsid w:val="00B76861"/>
    <w:rsid w:val="00B7690D"/>
    <w:rsid w:val="00B76966"/>
    <w:rsid w:val="00B76DAC"/>
    <w:rsid w:val="00B779C7"/>
    <w:rsid w:val="00B8104F"/>
    <w:rsid w:val="00B816E9"/>
    <w:rsid w:val="00B81A39"/>
    <w:rsid w:val="00B81C4F"/>
    <w:rsid w:val="00B82431"/>
    <w:rsid w:val="00B834F9"/>
    <w:rsid w:val="00B83D15"/>
    <w:rsid w:val="00B83EF9"/>
    <w:rsid w:val="00B845F5"/>
    <w:rsid w:val="00B84D71"/>
    <w:rsid w:val="00B85368"/>
    <w:rsid w:val="00B85DA7"/>
    <w:rsid w:val="00B8675A"/>
    <w:rsid w:val="00B86C25"/>
    <w:rsid w:val="00B87EA0"/>
    <w:rsid w:val="00B9111E"/>
    <w:rsid w:val="00B91841"/>
    <w:rsid w:val="00B924FE"/>
    <w:rsid w:val="00B9275C"/>
    <w:rsid w:val="00B93179"/>
    <w:rsid w:val="00B93505"/>
    <w:rsid w:val="00B937D9"/>
    <w:rsid w:val="00B93B56"/>
    <w:rsid w:val="00B93FD6"/>
    <w:rsid w:val="00B9404A"/>
    <w:rsid w:val="00B950BA"/>
    <w:rsid w:val="00B9628B"/>
    <w:rsid w:val="00B96BA6"/>
    <w:rsid w:val="00BA061F"/>
    <w:rsid w:val="00BA0631"/>
    <w:rsid w:val="00BA076F"/>
    <w:rsid w:val="00BA0CEE"/>
    <w:rsid w:val="00BA0E33"/>
    <w:rsid w:val="00BA113F"/>
    <w:rsid w:val="00BA18B3"/>
    <w:rsid w:val="00BA1CDB"/>
    <w:rsid w:val="00BA1D60"/>
    <w:rsid w:val="00BA1FE7"/>
    <w:rsid w:val="00BA35AD"/>
    <w:rsid w:val="00BA3608"/>
    <w:rsid w:val="00BA37CF"/>
    <w:rsid w:val="00BA3D4A"/>
    <w:rsid w:val="00BA4691"/>
    <w:rsid w:val="00BA4881"/>
    <w:rsid w:val="00BA4F87"/>
    <w:rsid w:val="00BA5D09"/>
    <w:rsid w:val="00BB1DD6"/>
    <w:rsid w:val="00BB25C5"/>
    <w:rsid w:val="00BB2B17"/>
    <w:rsid w:val="00BB346B"/>
    <w:rsid w:val="00BB3B2F"/>
    <w:rsid w:val="00BB41F8"/>
    <w:rsid w:val="00BB47CC"/>
    <w:rsid w:val="00BB4EA8"/>
    <w:rsid w:val="00BB5213"/>
    <w:rsid w:val="00BB5246"/>
    <w:rsid w:val="00BB5499"/>
    <w:rsid w:val="00BB57F9"/>
    <w:rsid w:val="00BB6520"/>
    <w:rsid w:val="00BB7065"/>
    <w:rsid w:val="00BB709D"/>
    <w:rsid w:val="00BB722F"/>
    <w:rsid w:val="00BB7268"/>
    <w:rsid w:val="00BB7663"/>
    <w:rsid w:val="00BB76EC"/>
    <w:rsid w:val="00BB7BF0"/>
    <w:rsid w:val="00BC0189"/>
    <w:rsid w:val="00BC093A"/>
    <w:rsid w:val="00BC0BA5"/>
    <w:rsid w:val="00BC0FF7"/>
    <w:rsid w:val="00BC18D2"/>
    <w:rsid w:val="00BC196F"/>
    <w:rsid w:val="00BC1DEF"/>
    <w:rsid w:val="00BC2904"/>
    <w:rsid w:val="00BC30EB"/>
    <w:rsid w:val="00BC42CA"/>
    <w:rsid w:val="00BC4762"/>
    <w:rsid w:val="00BC4852"/>
    <w:rsid w:val="00BC48BF"/>
    <w:rsid w:val="00BC4925"/>
    <w:rsid w:val="00BC4B64"/>
    <w:rsid w:val="00BC4D70"/>
    <w:rsid w:val="00BC4D8C"/>
    <w:rsid w:val="00BC4F57"/>
    <w:rsid w:val="00BC52D3"/>
    <w:rsid w:val="00BC6246"/>
    <w:rsid w:val="00BC6F23"/>
    <w:rsid w:val="00BD0064"/>
    <w:rsid w:val="00BD0292"/>
    <w:rsid w:val="00BD0333"/>
    <w:rsid w:val="00BD04AE"/>
    <w:rsid w:val="00BD1081"/>
    <w:rsid w:val="00BD1452"/>
    <w:rsid w:val="00BD18BD"/>
    <w:rsid w:val="00BD230B"/>
    <w:rsid w:val="00BD23C9"/>
    <w:rsid w:val="00BD2B18"/>
    <w:rsid w:val="00BD2DCE"/>
    <w:rsid w:val="00BD2DF6"/>
    <w:rsid w:val="00BD327E"/>
    <w:rsid w:val="00BD4361"/>
    <w:rsid w:val="00BD43BD"/>
    <w:rsid w:val="00BD498F"/>
    <w:rsid w:val="00BD5F69"/>
    <w:rsid w:val="00BD6240"/>
    <w:rsid w:val="00BD73A1"/>
    <w:rsid w:val="00BD744D"/>
    <w:rsid w:val="00BD7B49"/>
    <w:rsid w:val="00BE1707"/>
    <w:rsid w:val="00BE1747"/>
    <w:rsid w:val="00BE1B80"/>
    <w:rsid w:val="00BE1CC4"/>
    <w:rsid w:val="00BE2408"/>
    <w:rsid w:val="00BE27C9"/>
    <w:rsid w:val="00BE289C"/>
    <w:rsid w:val="00BE28B9"/>
    <w:rsid w:val="00BE3185"/>
    <w:rsid w:val="00BE34B9"/>
    <w:rsid w:val="00BE3643"/>
    <w:rsid w:val="00BE3ACB"/>
    <w:rsid w:val="00BE3D2C"/>
    <w:rsid w:val="00BE3E7D"/>
    <w:rsid w:val="00BE41FA"/>
    <w:rsid w:val="00BE421A"/>
    <w:rsid w:val="00BE42BD"/>
    <w:rsid w:val="00BE48FD"/>
    <w:rsid w:val="00BE6C8C"/>
    <w:rsid w:val="00BE6E02"/>
    <w:rsid w:val="00BE7C59"/>
    <w:rsid w:val="00BF0082"/>
    <w:rsid w:val="00BF0551"/>
    <w:rsid w:val="00BF119A"/>
    <w:rsid w:val="00BF2229"/>
    <w:rsid w:val="00BF2BEA"/>
    <w:rsid w:val="00BF3143"/>
    <w:rsid w:val="00BF4677"/>
    <w:rsid w:val="00BF5752"/>
    <w:rsid w:val="00BF5A36"/>
    <w:rsid w:val="00BF5DE8"/>
    <w:rsid w:val="00BF72F9"/>
    <w:rsid w:val="00BF7E5B"/>
    <w:rsid w:val="00C00552"/>
    <w:rsid w:val="00C005A6"/>
    <w:rsid w:val="00C0078F"/>
    <w:rsid w:val="00C00BD2"/>
    <w:rsid w:val="00C0138A"/>
    <w:rsid w:val="00C018F2"/>
    <w:rsid w:val="00C01C4F"/>
    <w:rsid w:val="00C02033"/>
    <w:rsid w:val="00C030F0"/>
    <w:rsid w:val="00C03216"/>
    <w:rsid w:val="00C03402"/>
    <w:rsid w:val="00C036A6"/>
    <w:rsid w:val="00C03876"/>
    <w:rsid w:val="00C03B39"/>
    <w:rsid w:val="00C03F9E"/>
    <w:rsid w:val="00C04458"/>
    <w:rsid w:val="00C04527"/>
    <w:rsid w:val="00C04A67"/>
    <w:rsid w:val="00C04EA4"/>
    <w:rsid w:val="00C05FED"/>
    <w:rsid w:val="00C060F1"/>
    <w:rsid w:val="00C06425"/>
    <w:rsid w:val="00C064AB"/>
    <w:rsid w:val="00C06ACC"/>
    <w:rsid w:val="00C06D90"/>
    <w:rsid w:val="00C125A0"/>
    <w:rsid w:val="00C12F94"/>
    <w:rsid w:val="00C139AE"/>
    <w:rsid w:val="00C13DD4"/>
    <w:rsid w:val="00C146B6"/>
    <w:rsid w:val="00C14976"/>
    <w:rsid w:val="00C149CF"/>
    <w:rsid w:val="00C14BB5"/>
    <w:rsid w:val="00C14C0F"/>
    <w:rsid w:val="00C15568"/>
    <w:rsid w:val="00C15F7F"/>
    <w:rsid w:val="00C16B2E"/>
    <w:rsid w:val="00C17256"/>
    <w:rsid w:val="00C17562"/>
    <w:rsid w:val="00C176B4"/>
    <w:rsid w:val="00C17918"/>
    <w:rsid w:val="00C17B66"/>
    <w:rsid w:val="00C20062"/>
    <w:rsid w:val="00C2030A"/>
    <w:rsid w:val="00C20817"/>
    <w:rsid w:val="00C20899"/>
    <w:rsid w:val="00C21DC3"/>
    <w:rsid w:val="00C222D1"/>
    <w:rsid w:val="00C22E48"/>
    <w:rsid w:val="00C23D8E"/>
    <w:rsid w:val="00C24DD9"/>
    <w:rsid w:val="00C25318"/>
    <w:rsid w:val="00C2536A"/>
    <w:rsid w:val="00C25507"/>
    <w:rsid w:val="00C269BC"/>
    <w:rsid w:val="00C271C8"/>
    <w:rsid w:val="00C2781B"/>
    <w:rsid w:val="00C27986"/>
    <w:rsid w:val="00C27BC8"/>
    <w:rsid w:val="00C306C0"/>
    <w:rsid w:val="00C308BD"/>
    <w:rsid w:val="00C308D6"/>
    <w:rsid w:val="00C32BC4"/>
    <w:rsid w:val="00C331FC"/>
    <w:rsid w:val="00C3328D"/>
    <w:rsid w:val="00C33D6C"/>
    <w:rsid w:val="00C34017"/>
    <w:rsid w:val="00C344E1"/>
    <w:rsid w:val="00C34D97"/>
    <w:rsid w:val="00C34DDD"/>
    <w:rsid w:val="00C350C7"/>
    <w:rsid w:val="00C358A7"/>
    <w:rsid w:val="00C3661C"/>
    <w:rsid w:val="00C36B53"/>
    <w:rsid w:val="00C36BC7"/>
    <w:rsid w:val="00C36BCD"/>
    <w:rsid w:val="00C37458"/>
    <w:rsid w:val="00C378B1"/>
    <w:rsid w:val="00C37E4C"/>
    <w:rsid w:val="00C400D0"/>
    <w:rsid w:val="00C408CE"/>
    <w:rsid w:val="00C4091B"/>
    <w:rsid w:val="00C41509"/>
    <w:rsid w:val="00C42664"/>
    <w:rsid w:val="00C427F1"/>
    <w:rsid w:val="00C42B56"/>
    <w:rsid w:val="00C42D4E"/>
    <w:rsid w:val="00C42F0F"/>
    <w:rsid w:val="00C42FB7"/>
    <w:rsid w:val="00C439AE"/>
    <w:rsid w:val="00C44099"/>
    <w:rsid w:val="00C4434B"/>
    <w:rsid w:val="00C456CC"/>
    <w:rsid w:val="00C45714"/>
    <w:rsid w:val="00C466C1"/>
    <w:rsid w:val="00C46A35"/>
    <w:rsid w:val="00C47881"/>
    <w:rsid w:val="00C51A35"/>
    <w:rsid w:val="00C51C57"/>
    <w:rsid w:val="00C52277"/>
    <w:rsid w:val="00C5261F"/>
    <w:rsid w:val="00C5277D"/>
    <w:rsid w:val="00C53087"/>
    <w:rsid w:val="00C536C6"/>
    <w:rsid w:val="00C53A04"/>
    <w:rsid w:val="00C53EE9"/>
    <w:rsid w:val="00C54B01"/>
    <w:rsid w:val="00C54C35"/>
    <w:rsid w:val="00C550AC"/>
    <w:rsid w:val="00C554E5"/>
    <w:rsid w:val="00C55D2D"/>
    <w:rsid w:val="00C56076"/>
    <w:rsid w:val="00C56653"/>
    <w:rsid w:val="00C56AAD"/>
    <w:rsid w:val="00C60E18"/>
    <w:rsid w:val="00C61873"/>
    <w:rsid w:val="00C6190D"/>
    <w:rsid w:val="00C61B88"/>
    <w:rsid w:val="00C62376"/>
    <w:rsid w:val="00C6264B"/>
    <w:rsid w:val="00C62654"/>
    <w:rsid w:val="00C62B7D"/>
    <w:rsid w:val="00C63725"/>
    <w:rsid w:val="00C65F9A"/>
    <w:rsid w:val="00C669F0"/>
    <w:rsid w:val="00C66B65"/>
    <w:rsid w:val="00C66F6E"/>
    <w:rsid w:val="00C66FB0"/>
    <w:rsid w:val="00C673B7"/>
    <w:rsid w:val="00C678C6"/>
    <w:rsid w:val="00C67A24"/>
    <w:rsid w:val="00C72915"/>
    <w:rsid w:val="00C72A7C"/>
    <w:rsid w:val="00C7318E"/>
    <w:rsid w:val="00C73688"/>
    <w:rsid w:val="00C73B81"/>
    <w:rsid w:val="00C73FDC"/>
    <w:rsid w:val="00C74BE2"/>
    <w:rsid w:val="00C74C9B"/>
    <w:rsid w:val="00C74E6E"/>
    <w:rsid w:val="00C75038"/>
    <w:rsid w:val="00C75750"/>
    <w:rsid w:val="00C75808"/>
    <w:rsid w:val="00C76228"/>
    <w:rsid w:val="00C77399"/>
    <w:rsid w:val="00C80147"/>
    <w:rsid w:val="00C80488"/>
    <w:rsid w:val="00C80739"/>
    <w:rsid w:val="00C80DDE"/>
    <w:rsid w:val="00C817BA"/>
    <w:rsid w:val="00C81E26"/>
    <w:rsid w:val="00C81E65"/>
    <w:rsid w:val="00C83102"/>
    <w:rsid w:val="00C83425"/>
    <w:rsid w:val="00C840D5"/>
    <w:rsid w:val="00C84FB6"/>
    <w:rsid w:val="00C86E40"/>
    <w:rsid w:val="00C87389"/>
    <w:rsid w:val="00C87B46"/>
    <w:rsid w:val="00C90EDB"/>
    <w:rsid w:val="00C90F4D"/>
    <w:rsid w:val="00C91066"/>
    <w:rsid w:val="00C91743"/>
    <w:rsid w:val="00C91997"/>
    <w:rsid w:val="00C91C82"/>
    <w:rsid w:val="00C91D86"/>
    <w:rsid w:val="00C921AA"/>
    <w:rsid w:val="00C924F9"/>
    <w:rsid w:val="00C93540"/>
    <w:rsid w:val="00C935F6"/>
    <w:rsid w:val="00C936CC"/>
    <w:rsid w:val="00C95252"/>
    <w:rsid w:val="00C95947"/>
    <w:rsid w:val="00C959FB"/>
    <w:rsid w:val="00C968DE"/>
    <w:rsid w:val="00C968EB"/>
    <w:rsid w:val="00CA0322"/>
    <w:rsid w:val="00CA0480"/>
    <w:rsid w:val="00CA08CD"/>
    <w:rsid w:val="00CA16CF"/>
    <w:rsid w:val="00CA1D11"/>
    <w:rsid w:val="00CA207C"/>
    <w:rsid w:val="00CA408F"/>
    <w:rsid w:val="00CA4C78"/>
    <w:rsid w:val="00CA4E7F"/>
    <w:rsid w:val="00CA574C"/>
    <w:rsid w:val="00CA5AF4"/>
    <w:rsid w:val="00CA5BD9"/>
    <w:rsid w:val="00CA6506"/>
    <w:rsid w:val="00CA76C3"/>
    <w:rsid w:val="00CA794F"/>
    <w:rsid w:val="00CB0241"/>
    <w:rsid w:val="00CB0E5B"/>
    <w:rsid w:val="00CB1B56"/>
    <w:rsid w:val="00CB1FE4"/>
    <w:rsid w:val="00CB26C9"/>
    <w:rsid w:val="00CB2DCD"/>
    <w:rsid w:val="00CB3C7D"/>
    <w:rsid w:val="00CB57CD"/>
    <w:rsid w:val="00CB7414"/>
    <w:rsid w:val="00CB7701"/>
    <w:rsid w:val="00CB7E97"/>
    <w:rsid w:val="00CC02DE"/>
    <w:rsid w:val="00CC2CDB"/>
    <w:rsid w:val="00CC31DF"/>
    <w:rsid w:val="00CC3267"/>
    <w:rsid w:val="00CC3C6E"/>
    <w:rsid w:val="00CC3C8A"/>
    <w:rsid w:val="00CC3CBE"/>
    <w:rsid w:val="00CC3F71"/>
    <w:rsid w:val="00CC4273"/>
    <w:rsid w:val="00CC4C00"/>
    <w:rsid w:val="00CC517C"/>
    <w:rsid w:val="00CC53D3"/>
    <w:rsid w:val="00CC5554"/>
    <w:rsid w:val="00CC6328"/>
    <w:rsid w:val="00CC70A9"/>
    <w:rsid w:val="00CC715A"/>
    <w:rsid w:val="00CC77F3"/>
    <w:rsid w:val="00CD0114"/>
    <w:rsid w:val="00CD044F"/>
    <w:rsid w:val="00CD2702"/>
    <w:rsid w:val="00CD2E89"/>
    <w:rsid w:val="00CD2F17"/>
    <w:rsid w:val="00CD2FEB"/>
    <w:rsid w:val="00CD3236"/>
    <w:rsid w:val="00CD35F7"/>
    <w:rsid w:val="00CD36CA"/>
    <w:rsid w:val="00CD43DF"/>
    <w:rsid w:val="00CD440B"/>
    <w:rsid w:val="00CD4584"/>
    <w:rsid w:val="00CD5689"/>
    <w:rsid w:val="00CD56E3"/>
    <w:rsid w:val="00CD572E"/>
    <w:rsid w:val="00CD5A5E"/>
    <w:rsid w:val="00CD6629"/>
    <w:rsid w:val="00CD6AFB"/>
    <w:rsid w:val="00CD6EF0"/>
    <w:rsid w:val="00CD6FCE"/>
    <w:rsid w:val="00CD7891"/>
    <w:rsid w:val="00CD7B71"/>
    <w:rsid w:val="00CE042F"/>
    <w:rsid w:val="00CE0449"/>
    <w:rsid w:val="00CE122A"/>
    <w:rsid w:val="00CE12AC"/>
    <w:rsid w:val="00CE15F3"/>
    <w:rsid w:val="00CE1A92"/>
    <w:rsid w:val="00CE1EC3"/>
    <w:rsid w:val="00CE2807"/>
    <w:rsid w:val="00CE2EBC"/>
    <w:rsid w:val="00CE30B7"/>
    <w:rsid w:val="00CE3655"/>
    <w:rsid w:val="00CE407D"/>
    <w:rsid w:val="00CE4A32"/>
    <w:rsid w:val="00CE4AF5"/>
    <w:rsid w:val="00CE4C2E"/>
    <w:rsid w:val="00CE6A0E"/>
    <w:rsid w:val="00CE752B"/>
    <w:rsid w:val="00CE7A03"/>
    <w:rsid w:val="00CF0BBD"/>
    <w:rsid w:val="00CF157E"/>
    <w:rsid w:val="00CF1BFA"/>
    <w:rsid w:val="00CF1C3C"/>
    <w:rsid w:val="00CF205D"/>
    <w:rsid w:val="00CF244B"/>
    <w:rsid w:val="00CF35E4"/>
    <w:rsid w:val="00CF3D5C"/>
    <w:rsid w:val="00CF6D0A"/>
    <w:rsid w:val="00CF7074"/>
    <w:rsid w:val="00CF75D4"/>
    <w:rsid w:val="00CF77FB"/>
    <w:rsid w:val="00CF7BCC"/>
    <w:rsid w:val="00D00755"/>
    <w:rsid w:val="00D008F6"/>
    <w:rsid w:val="00D010D8"/>
    <w:rsid w:val="00D01199"/>
    <w:rsid w:val="00D01EB4"/>
    <w:rsid w:val="00D021BF"/>
    <w:rsid w:val="00D03BAD"/>
    <w:rsid w:val="00D03E61"/>
    <w:rsid w:val="00D04563"/>
    <w:rsid w:val="00D05531"/>
    <w:rsid w:val="00D05A51"/>
    <w:rsid w:val="00D06125"/>
    <w:rsid w:val="00D061ED"/>
    <w:rsid w:val="00D06598"/>
    <w:rsid w:val="00D07313"/>
    <w:rsid w:val="00D07791"/>
    <w:rsid w:val="00D079AC"/>
    <w:rsid w:val="00D07B37"/>
    <w:rsid w:val="00D104EC"/>
    <w:rsid w:val="00D11992"/>
    <w:rsid w:val="00D11F0F"/>
    <w:rsid w:val="00D12DF6"/>
    <w:rsid w:val="00D12F45"/>
    <w:rsid w:val="00D13A3E"/>
    <w:rsid w:val="00D13E69"/>
    <w:rsid w:val="00D13F49"/>
    <w:rsid w:val="00D14DB1"/>
    <w:rsid w:val="00D14F0D"/>
    <w:rsid w:val="00D150EB"/>
    <w:rsid w:val="00D15261"/>
    <w:rsid w:val="00D15ADC"/>
    <w:rsid w:val="00D1638E"/>
    <w:rsid w:val="00D168A2"/>
    <w:rsid w:val="00D16D76"/>
    <w:rsid w:val="00D16ED8"/>
    <w:rsid w:val="00D17C19"/>
    <w:rsid w:val="00D17E53"/>
    <w:rsid w:val="00D2119C"/>
    <w:rsid w:val="00D21319"/>
    <w:rsid w:val="00D2142B"/>
    <w:rsid w:val="00D22462"/>
    <w:rsid w:val="00D22C59"/>
    <w:rsid w:val="00D22E55"/>
    <w:rsid w:val="00D231E9"/>
    <w:rsid w:val="00D23539"/>
    <w:rsid w:val="00D24164"/>
    <w:rsid w:val="00D256D2"/>
    <w:rsid w:val="00D25931"/>
    <w:rsid w:val="00D25ACF"/>
    <w:rsid w:val="00D2742F"/>
    <w:rsid w:val="00D276F0"/>
    <w:rsid w:val="00D27BFA"/>
    <w:rsid w:val="00D27C4D"/>
    <w:rsid w:val="00D27FF9"/>
    <w:rsid w:val="00D30AE3"/>
    <w:rsid w:val="00D30CC3"/>
    <w:rsid w:val="00D31348"/>
    <w:rsid w:val="00D31B30"/>
    <w:rsid w:val="00D320A7"/>
    <w:rsid w:val="00D322A8"/>
    <w:rsid w:val="00D32335"/>
    <w:rsid w:val="00D323E3"/>
    <w:rsid w:val="00D32EC9"/>
    <w:rsid w:val="00D33E32"/>
    <w:rsid w:val="00D33F2E"/>
    <w:rsid w:val="00D33FD9"/>
    <w:rsid w:val="00D3439E"/>
    <w:rsid w:val="00D3457C"/>
    <w:rsid w:val="00D357F0"/>
    <w:rsid w:val="00D4013D"/>
    <w:rsid w:val="00D40BD4"/>
    <w:rsid w:val="00D414F9"/>
    <w:rsid w:val="00D41502"/>
    <w:rsid w:val="00D416E5"/>
    <w:rsid w:val="00D4190E"/>
    <w:rsid w:val="00D42621"/>
    <w:rsid w:val="00D428B3"/>
    <w:rsid w:val="00D42F9F"/>
    <w:rsid w:val="00D4325A"/>
    <w:rsid w:val="00D444D8"/>
    <w:rsid w:val="00D45926"/>
    <w:rsid w:val="00D45F89"/>
    <w:rsid w:val="00D460B0"/>
    <w:rsid w:val="00D46CC6"/>
    <w:rsid w:val="00D47128"/>
    <w:rsid w:val="00D471FE"/>
    <w:rsid w:val="00D475F5"/>
    <w:rsid w:val="00D47AEE"/>
    <w:rsid w:val="00D501B5"/>
    <w:rsid w:val="00D51612"/>
    <w:rsid w:val="00D51650"/>
    <w:rsid w:val="00D5297C"/>
    <w:rsid w:val="00D52BB2"/>
    <w:rsid w:val="00D52D4F"/>
    <w:rsid w:val="00D53095"/>
    <w:rsid w:val="00D53C35"/>
    <w:rsid w:val="00D54644"/>
    <w:rsid w:val="00D54A94"/>
    <w:rsid w:val="00D557D5"/>
    <w:rsid w:val="00D55873"/>
    <w:rsid w:val="00D5682E"/>
    <w:rsid w:val="00D570DF"/>
    <w:rsid w:val="00D572F6"/>
    <w:rsid w:val="00D575D5"/>
    <w:rsid w:val="00D57DBA"/>
    <w:rsid w:val="00D57F9C"/>
    <w:rsid w:val="00D6180D"/>
    <w:rsid w:val="00D61E9C"/>
    <w:rsid w:val="00D622EA"/>
    <w:rsid w:val="00D62905"/>
    <w:rsid w:val="00D62B37"/>
    <w:rsid w:val="00D63C22"/>
    <w:rsid w:val="00D65CC4"/>
    <w:rsid w:val="00D667A9"/>
    <w:rsid w:val="00D6706B"/>
    <w:rsid w:val="00D67791"/>
    <w:rsid w:val="00D703C9"/>
    <w:rsid w:val="00D70E2C"/>
    <w:rsid w:val="00D71700"/>
    <w:rsid w:val="00D71795"/>
    <w:rsid w:val="00D71AA0"/>
    <w:rsid w:val="00D73642"/>
    <w:rsid w:val="00D7435E"/>
    <w:rsid w:val="00D74E6C"/>
    <w:rsid w:val="00D7505B"/>
    <w:rsid w:val="00D77234"/>
    <w:rsid w:val="00D77244"/>
    <w:rsid w:val="00D77ACA"/>
    <w:rsid w:val="00D8179C"/>
    <w:rsid w:val="00D821C3"/>
    <w:rsid w:val="00D82E25"/>
    <w:rsid w:val="00D854EB"/>
    <w:rsid w:val="00D85703"/>
    <w:rsid w:val="00D85DE1"/>
    <w:rsid w:val="00D86E06"/>
    <w:rsid w:val="00D87888"/>
    <w:rsid w:val="00D87A1C"/>
    <w:rsid w:val="00D905B9"/>
    <w:rsid w:val="00D9081A"/>
    <w:rsid w:val="00D919BB"/>
    <w:rsid w:val="00D91E97"/>
    <w:rsid w:val="00D92A94"/>
    <w:rsid w:val="00D92E1E"/>
    <w:rsid w:val="00D936C1"/>
    <w:rsid w:val="00D939C3"/>
    <w:rsid w:val="00D942A2"/>
    <w:rsid w:val="00D950A8"/>
    <w:rsid w:val="00D95F01"/>
    <w:rsid w:val="00D95FBF"/>
    <w:rsid w:val="00D96A8B"/>
    <w:rsid w:val="00D97119"/>
    <w:rsid w:val="00D972A1"/>
    <w:rsid w:val="00D9787D"/>
    <w:rsid w:val="00D97A5F"/>
    <w:rsid w:val="00D97A9C"/>
    <w:rsid w:val="00DA0A33"/>
    <w:rsid w:val="00DA149E"/>
    <w:rsid w:val="00DA2F51"/>
    <w:rsid w:val="00DA37D6"/>
    <w:rsid w:val="00DA3979"/>
    <w:rsid w:val="00DA4D43"/>
    <w:rsid w:val="00DA5433"/>
    <w:rsid w:val="00DA6058"/>
    <w:rsid w:val="00DA6516"/>
    <w:rsid w:val="00DA70D3"/>
    <w:rsid w:val="00DA7510"/>
    <w:rsid w:val="00DA789D"/>
    <w:rsid w:val="00DB084C"/>
    <w:rsid w:val="00DB0B3F"/>
    <w:rsid w:val="00DB16BD"/>
    <w:rsid w:val="00DB1755"/>
    <w:rsid w:val="00DB1973"/>
    <w:rsid w:val="00DB1E5D"/>
    <w:rsid w:val="00DB275A"/>
    <w:rsid w:val="00DB29C8"/>
    <w:rsid w:val="00DB39E4"/>
    <w:rsid w:val="00DB3A52"/>
    <w:rsid w:val="00DB3C39"/>
    <w:rsid w:val="00DB414A"/>
    <w:rsid w:val="00DB42B4"/>
    <w:rsid w:val="00DB4B6D"/>
    <w:rsid w:val="00DB500B"/>
    <w:rsid w:val="00DB5BC2"/>
    <w:rsid w:val="00DB621A"/>
    <w:rsid w:val="00DB65D3"/>
    <w:rsid w:val="00DB6AE4"/>
    <w:rsid w:val="00DB6E10"/>
    <w:rsid w:val="00DB72C5"/>
    <w:rsid w:val="00DB7B97"/>
    <w:rsid w:val="00DB7ED0"/>
    <w:rsid w:val="00DC0162"/>
    <w:rsid w:val="00DC033E"/>
    <w:rsid w:val="00DC0881"/>
    <w:rsid w:val="00DC0A01"/>
    <w:rsid w:val="00DC0A6E"/>
    <w:rsid w:val="00DC0ADC"/>
    <w:rsid w:val="00DC0CA5"/>
    <w:rsid w:val="00DC0FE9"/>
    <w:rsid w:val="00DC17A7"/>
    <w:rsid w:val="00DC2231"/>
    <w:rsid w:val="00DC2509"/>
    <w:rsid w:val="00DC2669"/>
    <w:rsid w:val="00DC27A4"/>
    <w:rsid w:val="00DC3889"/>
    <w:rsid w:val="00DC394D"/>
    <w:rsid w:val="00DC47E0"/>
    <w:rsid w:val="00DC6F86"/>
    <w:rsid w:val="00DC72F3"/>
    <w:rsid w:val="00DC770F"/>
    <w:rsid w:val="00DD088D"/>
    <w:rsid w:val="00DD10D1"/>
    <w:rsid w:val="00DD1BBC"/>
    <w:rsid w:val="00DD1F0A"/>
    <w:rsid w:val="00DD2D2D"/>
    <w:rsid w:val="00DD33DD"/>
    <w:rsid w:val="00DD349F"/>
    <w:rsid w:val="00DD3798"/>
    <w:rsid w:val="00DD3954"/>
    <w:rsid w:val="00DD3B58"/>
    <w:rsid w:val="00DD3E1B"/>
    <w:rsid w:val="00DD44FD"/>
    <w:rsid w:val="00DD4D46"/>
    <w:rsid w:val="00DD57F7"/>
    <w:rsid w:val="00DD5B8C"/>
    <w:rsid w:val="00DD63C5"/>
    <w:rsid w:val="00DD70C3"/>
    <w:rsid w:val="00DE06B5"/>
    <w:rsid w:val="00DE29A8"/>
    <w:rsid w:val="00DE2A98"/>
    <w:rsid w:val="00DE4242"/>
    <w:rsid w:val="00DE447D"/>
    <w:rsid w:val="00DE4E31"/>
    <w:rsid w:val="00DE52C1"/>
    <w:rsid w:val="00DE58A1"/>
    <w:rsid w:val="00DE5B89"/>
    <w:rsid w:val="00DE5C48"/>
    <w:rsid w:val="00DE5EBC"/>
    <w:rsid w:val="00DE6653"/>
    <w:rsid w:val="00DE7555"/>
    <w:rsid w:val="00DE7A9A"/>
    <w:rsid w:val="00DE7BCF"/>
    <w:rsid w:val="00DF0829"/>
    <w:rsid w:val="00DF12C3"/>
    <w:rsid w:val="00DF166D"/>
    <w:rsid w:val="00DF1983"/>
    <w:rsid w:val="00DF2109"/>
    <w:rsid w:val="00DF34CC"/>
    <w:rsid w:val="00DF4A75"/>
    <w:rsid w:val="00DF4C05"/>
    <w:rsid w:val="00DF528F"/>
    <w:rsid w:val="00DF5317"/>
    <w:rsid w:val="00DF586A"/>
    <w:rsid w:val="00DF5F9C"/>
    <w:rsid w:val="00DF64F5"/>
    <w:rsid w:val="00DF6A35"/>
    <w:rsid w:val="00E00537"/>
    <w:rsid w:val="00E0144A"/>
    <w:rsid w:val="00E02743"/>
    <w:rsid w:val="00E0369D"/>
    <w:rsid w:val="00E038E5"/>
    <w:rsid w:val="00E03BF3"/>
    <w:rsid w:val="00E03C79"/>
    <w:rsid w:val="00E040A0"/>
    <w:rsid w:val="00E04396"/>
    <w:rsid w:val="00E0443A"/>
    <w:rsid w:val="00E048D6"/>
    <w:rsid w:val="00E05A7B"/>
    <w:rsid w:val="00E05FB1"/>
    <w:rsid w:val="00E06541"/>
    <w:rsid w:val="00E06A19"/>
    <w:rsid w:val="00E07BE4"/>
    <w:rsid w:val="00E07E5E"/>
    <w:rsid w:val="00E07F05"/>
    <w:rsid w:val="00E100BA"/>
    <w:rsid w:val="00E10EBA"/>
    <w:rsid w:val="00E1196A"/>
    <w:rsid w:val="00E11AFD"/>
    <w:rsid w:val="00E12B6C"/>
    <w:rsid w:val="00E12CDB"/>
    <w:rsid w:val="00E1301F"/>
    <w:rsid w:val="00E13327"/>
    <w:rsid w:val="00E13629"/>
    <w:rsid w:val="00E1432B"/>
    <w:rsid w:val="00E14AEF"/>
    <w:rsid w:val="00E14D47"/>
    <w:rsid w:val="00E14D64"/>
    <w:rsid w:val="00E152CE"/>
    <w:rsid w:val="00E15E98"/>
    <w:rsid w:val="00E16139"/>
    <w:rsid w:val="00E16949"/>
    <w:rsid w:val="00E16F8B"/>
    <w:rsid w:val="00E1709E"/>
    <w:rsid w:val="00E17577"/>
    <w:rsid w:val="00E17E15"/>
    <w:rsid w:val="00E2089E"/>
    <w:rsid w:val="00E20BDD"/>
    <w:rsid w:val="00E20C15"/>
    <w:rsid w:val="00E20F60"/>
    <w:rsid w:val="00E213B2"/>
    <w:rsid w:val="00E225FE"/>
    <w:rsid w:val="00E22D2E"/>
    <w:rsid w:val="00E232A5"/>
    <w:rsid w:val="00E23412"/>
    <w:rsid w:val="00E23BAB"/>
    <w:rsid w:val="00E23BC3"/>
    <w:rsid w:val="00E23C4E"/>
    <w:rsid w:val="00E25269"/>
    <w:rsid w:val="00E254FB"/>
    <w:rsid w:val="00E264C4"/>
    <w:rsid w:val="00E264CD"/>
    <w:rsid w:val="00E26A23"/>
    <w:rsid w:val="00E26CAE"/>
    <w:rsid w:val="00E26D26"/>
    <w:rsid w:val="00E2761E"/>
    <w:rsid w:val="00E27EED"/>
    <w:rsid w:val="00E310F6"/>
    <w:rsid w:val="00E31547"/>
    <w:rsid w:val="00E315E5"/>
    <w:rsid w:val="00E3196E"/>
    <w:rsid w:val="00E31EEF"/>
    <w:rsid w:val="00E3224E"/>
    <w:rsid w:val="00E32D3A"/>
    <w:rsid w:val="00E330BA"/>
    <w:rsid w:val="00E33364"/>
    <w:rsid w:val="00E33B5A"/>
    <w:rsid w:val="00E33D31"/>
    <w:rsid w:val="00E346FF"/>
    <w:rsid w:val="00E347D8"/>
    <w:rsid w:val="00E34AD5"/>
    <w:rsid w:val="00E34C3B"/>
    <w:rsid w:val="00E350D9"/>
    <w:rsid w:val="00E36300"/>
    <w:rsid w:val="00E36BE5"/>
    <w:rsid w:val="00E3710E"/>
    <w:rsid w:val="00E372EA"/>
    <w:rsid w:val="00E376A8"/>
    <w:rsid w:val="00E37FEB"/>
    <w:rsid w:val="00E40BDB"/>
    <w:rsid w:val="00E40CCF"/>
    <w:rsid w:val="00E43641"/>
    <w:rsid w:val="00E44308"/>
    <w:rsid w:val="00E445B6"/>
    <w:rsid w:val="00E44668"/>
    <w:rsid w:val="00E44A16"/>
    <w:rsid w:val="00E4575A"/>
    <w:rsid w:val="00E4622E"/>
    <w:rsid w:val="00E463C9"/>
    <w:rsid w:val="00E464B7"/>
    <w:rsid w:val="00E467FD"/>
    <w:rsid w:val="00E47A43"/>
    <w:rsid w:val="00E47C25"/>
    <w:rsid w:val="00E47D8D"/>
    <w:rsid w:val="00E513BC"/>
    <w:rsid w:val="00E51E46"/>
    <w:rsid w:val="00E51F62"/>
    <w:rsid w:val="00E52C34"/>
    <w:rsid w:val="00E52E9A"/>
    <w:rsid w:val="00E52EE2"/>
    <w:rsid w:val="00E53B63"/>
    <w:rsid w:val="00E53C42"/>
    <w:rsid w:val="00E5475A"/>
    <w:rsid w:val="00E56A1B"/>
    <w:rsid w:val="00E56B25"/>
    <w:rsid w:val="00E57051"/>
    <w:rsid w:val="00E573AD"/>
    <w:rsid w:val="00E57E3C"/>
    <w:rsid w:val="00E60467"/>
    <w:rsid w:val="00E609F0"/>
    <w:rsid w:val="00E6120C"/>
    <w:rsid w:val="00E62418"/>
    <w:rsid w:val="00E62BF6"/>
    <w:rsid w:val="00E63229"/>
    <w:rsid w:val="00E64D84"/>
    <w:rsid w:val="00E64F98"/>
    <w:rsid w:val="00E650B8"/>
    <w:rsid w:val="00E65113"/>
    <w:rsid w:val="00E66FEA"/>
    <w:rsid w:val="00E67727"/>
    <w:rsid w:val="00E67A4E"/>
    <w:rsid w:val="00E67E54"/>
    <w:rsid w:val="00E70CBF"/>
    <w:rsid w:val="00E70F9D"/>
    <w:rsid w:val="00E71014"/>
    <w:rsid w:val="00E721D2"/>
    <w:rsid w:val="00E72BF3"/>
    <w:rsid w:val="00E72FAC"/>
    <w:rsid w:val="00E733B6"/>
    <w:rsid w:val="00E73995"/>
    <w:rsid w:val="00E73A3F"/>
    <w:rsid w:val="00E75145"/>
    <w:rsid w:val="00E75914"/>
    <w:rsid w:val="00E76324"/>
    <w:rsid w:val="00E763D3"/>
    <w:rsid w:val="00E77B23"/>
    <w:rsid w:val="00E77E1E"/>
    <w:rsid w:val="00E80602"/>
    <w:rsid w:val="00E8147F"/>
    <w:rsid w:val="00E82095"/>
    <w:rsid w:val="00E82459"/>
    <w:rsid w:val="00E832EC"/>
    <w:rsid w:val="00E83742"/>
    <w:rsid w:val="00E83930"/>
    <w:rsid w:val="00E842FC"/>
    <w:rsid w:val="00E84F18"/>
    <w:rsid w:val="00E85D5B"/>
    <w:rsid w:val="00E8631F"/>
    <w:rsid w:val="00E90194"/>
    <w:rsid w:val="00E90724"/>
    <w:rsid w:val="00E91439"/>
    <w:rsid w:val="00E91598"/>
    <w:rsid w:val="00E92797"/>
    <w:rsid w:val="00E92B15"/>
    <w:rsid w:val="00E92DFA"/>
    <w:rsid w:val="00E92F63"/>
    <w:rsid w:val="00E9356B"/>
    <w:rsid w:val="00E9382B"/>
    <w:rsid w:val="00E93BE8"/>
    <w:rsid w:val="00E93E03"/>
    <w:rsid w:val="00E94152"/>
    <w:rsid w:val="00E94417"/>
    <w:rsid w:val="00E95E98"/>
    <w:rsid w:val="00E963ED"/>
    <w:rsid w:val="00E96558"/>
    <w:rsid w:val="00E97BCD"/>
    <w:rsid w:val="00EA02EF"/>
    <w:rsid w:val="00EA076F"/>
    <w:rsid w:val="00EA114D"/>
    <w:rsid w:val="00EA2F5E"/>
    <w:rsid w:val="00EA3251"/>
    <w:rsid w:val="00EA33C4"/>
    <w:rsid w:val="00EA352E"/>
    <w:rsid w:val="00EA524B"/>
    <w:rsid w:val="00EA61A3"/>
    <w:rsid w:val="00EA71C4"/>
    <w:rsid w:val="00EA744F"/>
    <w:rsid w:val="00EA7714"/>
    <w:rsid w:val="00EA787F"/>
    <w:rsid w:val="00EA7901"/>
    <w:rsid w:val="00EA7EC8"/>
    <w:rsid w:val="00EB065C"/>
    <w:rsid w:val="00EB0D00"/>
    <w:rsid w:val="00EB267E"/>
    <w:rsid w:val="00EB2F46"/>
    <w:rsid w:val="00EB3173"/>
    <w:rsid w:val="00EB5D91"/>
    <w:rsid w:val="00EB6212"/>
    <w:rsid w:val="00EB6C4B"/>
    <w:rsid w:val="00EB72AD"/>
    <w:rsid w:val="00EB7DEB"/>
    <w:rsid w:val="00EC0049"/>
    <w:rsid w:val="00EC0B39"/>
    <w:rsid w:val="00EC0CC1"/>
    <w:rsid w:val="00EC1322"/>
    <w:rsid w:val="00EC2C0B"/>
    <w:rsid w:val="00EC2DC5"/>
    <w:rsid w:val="00EC344C"/>
    <w:rsid w:val="00EC3670"/>
    <w:rsid w:val="00EC416A"/>
    <w:rsid w:val="00EC570D"/>
    <w:rsid w:val="00EC5BF9"/>
    <w:rsid w:val="00EC5DCD"/>
    <w:rsid w:val="00EC6439"/>
    <w:rsid w:val="00EC7A09"/>
    <w:rsid w:val="00ED0B37"/>
    <w:rsid w:val="00ED0F7A"/>
    <w:rsid w:val="00ED1010"/>
    <w:rsid w:val="00ED1DA7"/>
    <w:rsid w:val="00ED3AA9"/>
    <w:rsid w:val="00ED42AA"/>
    <w:rsid w:val="00ED4A2F"/>
    <w:rsid w:val="00ED55EE"/>
    <w:rsid w:val="00ED5F7C"/>
    <w:rsid w:val="00ED6FDB"/>
    <w:rsid w:val="00ED778B"/>
    <w:rsid w:val="00ED7DCE"/>
    <w:rsid w:val="00EE03E2"/>
    <w:rsid w:val="00EE063E"/>
    <w:rsid w:val="00EE2520"/>
    <w:rsid w:val="00EE2B6D"/>
    <w:rsid w:val="00EE3397"/>
    <w:rsid w:val="00EE33BB"/>
    <w:rsid w:val="00EE3719"/>
    <w:rsid w:val="00EE4484"/>
    <w:rsid w:val="00EE4EC9"/>
    <w:rsid w:val="00EE5754"/>
    <w:rsid w:val="00EE5C94"/>
    <w:rsid w:val="00EE6C40"/>
    <w:rsid w:val="00EE7286"/>
    <w:rsid w:val="00EE7A41"/>
    <w:rsid w:val="00EF1977"/>
    <w:rsid w:val="00EF1DF7"/>
    <w:rsid w:val="00EF1E19"/>
    <w:rsid w:val="00EF2B9D"/>
    <w:rsid w:val="00EF2E05"/>
    <w:rsid w:val="00EF2FC6"/>
    <w:rsid w:val="00EF3593"/>
    <w:rsid w:val="00EF36B2"/>
    <w:rsid w:val="00EF3821"/>
    <w:rsid w:val="00EF3E9A"/>
    <w:rsid w:val="00EF43D7"/>
    <w:rsid w:val="00EF6FF1"/>
    <w:rsid w:val="00EF712B"/>
    <w:rsid w:val="00EF73F6"/>
    <w:rsid w:val="00F0031D"/>
    <w:rsid w:val="00F009AC"/>
    <w:rsid w:val="00F00F55"/>
    <w:rsid w:val="00F018E6"/>
    <w:rsid w:val="00F01CED"/>
    <w:rsid w:val="00F01E12"/>
    <w:rsid w:val="00F02BDC"/>
    <w:rsid w:val="00F02EA0"/>
    <w:rsid w:val="00F040EE"/>
    <w:rsid w:val="00F0414E"/>
    <w:rsid w:val="00F04985"/>
    <w:rsid w:val="00F04AEA"/>
    <w:rsid w:val="00F04C1E"/>
    <w:rsid w:val="00F04E63"/>
    <w:rsid w:val="00F06603"/>
    <w:rsid w:val="00F0662D"/>
    <w:rsid w:val="00F06ECB"/>
    <w:rsid w:val="00F07F96"/>
    <w:rsid w:val="00F1027D"/>
    <w:rsid w:val="00F10529"/>
    <w:rsid w:val="00F10653"/>
    <w:rsid w:val="00F10805"/>
    <w:rsid w:val="00F10BCE"/>
    <w:rsid w:val="00F1187D"/>
    <w:rsid w:val="00F12094"/>
    <w:rsid w:val="00F12C32"/>
    <w:rsid w:val="00F135DE"/>
    <w:rsid w:val="00F14352"/>
    <w:rsid w:val="00F14B4B"/>
    <w:rsid w:val="00F15BB4"/>
    <w:rsid w:val="00F16456"/>
    <w:rsid w:val="00F17E69"/>
    <w:rsid w:val="00F20FA2"/>
    <w:rsid w:val="00F21564"/>
    <w:rsid w:val="00F22138"/>
    <w:rsid w:val="00F22254"/>
    <w:rsid w:val="00F226E6"/>
    <w:rsid w:val="00F229A1"/>
    <w:rsid w:val="00F22F90"/>
    <w:rsid w:val="00F22FD1"/>
    <w:rsid w:val="00F2317F"/>
    <w:rsid w:val="00F2344D"/>
    <w:rsid w:val="00F23592"/>
    <w:rsid w:val="00F236DF"/>
    <w:rsid w:val="00F241FA"/>
    <w:rsid w:val="00F24378"/>
    <w:rsid w:val="00F24DBD"/>
    <w:rsid w:val="00F2597C"/>
    <w:rsid w:val="00F25A41"/>
    <w:rsid w:val="00F25DBB"/>
    <w:rsid w:val="00F26056"/>
    <w:rsid w:val="00F26988"/>
    <w:rsid w:val="00F26A52"/>
    <w:rsid w:val="00F3012C"/>
    <w:rsid w:val="00F302E9"/>
    <w:rsid w:val="00F306B2"/>
    <w:rsid w:val="00F32478"/>
    <w:rsid w:val="00F33325"/>
    <w:rsid w:val="00F33AAF"/>
    <w:rsid w:val="00F349EB"/>
    <w:rsid w:val="00F35158"/>
    <w:rsid w:val="00F35BDF"/>
    <w:rsid w:val="00F35C22"/>
    <w:rsid w:val="00F36AAE"/>
    <w:rsid w:val="00F3731D"/>
    <w:rsid w:val="00F40670"/>
    <w:rsid w:val="00F40BF5"/>
    <w:rsid w:val="00F40CD4"/>
    <w:rsid w:val="00F40E81"/>
    <w:rsid w:val="00F410EF"/>
    <w:rsid w:val="00F41710"/>
    <w:rsid w:val="00F41BD0"/>
    <w:rsid w:val="00F422CC"/>
    <w:rsid w:val="00F4273F"/>
    <w:rsid w:val="00F42F89"/>
    <w:rsid w:val="00F43042"/>
    <w:rsid w:val="00F433E4"/>
    <w:rsid w:val="00F441DB"/>
    <w:rsid w:val="00F456AB"/>
    <w:rsid w:val="00F4662B"/>
    <w:rsid w:val="00F46B46"/>
    <w:rsid w:val="00F47341"/>
    <w:rsid w:val="00F47694"/>
    <w:rsid w:val="00F5059C"/>
    <w:rsid w:val="00F50769"/>
    <w:rsid w:val="00F512F0"/>
    <w:rsid w:val="00F522C5"/>
    <w:rsid w:val="00F526E1"/>
    <w:rsid w:val="00F528CE"/>
    <w:rsid w:val="00F53478"/>
    <w:rsid w:val="00F542CF"/>
    <w:rsid w:val="00F547FA"/>
    <w:rsid w:val="00F54990"/>
    <w:rsid w:val="00F54BF3"/>
    <w:rsid w:val="00F54CA1"/>
    <w:rsid w:val="00F5513C"/>
    <w:rsid w:val="00F55CF4"/>
    <w:rsid w:val="00F56AD7"/>
    <w:rsid w:val="00F576FD"/>
    <w:rsid w:val="00F60032"/>
    <w:rsid w:val="00F606CC"/>
    <w:rsid w:val="00F60C78"/>
    <w:rsid w:val="00F60D3B"/>
    <w:rsid w:val="00F60EF0"/>
    <w:rsid w:val="00F616DC"/>
    <w:rsid w:val="00F61B90"/>
    <w:rsid w:val="00F61C10"/>
    <w:rsid w:val="00F61E6D"/>
    <w:rsid w:val="00F62029"/>
    <w:rsid w:val="00F6288D"/>
    <w:rsid w:val="00F630AC"/>
    <w:rsid w:val="00F633F0"/>
    <w:rsid w:val="00F6379D"/>
    <w:rsid w:val="00F63C4F"/>
    <w:rsid w:val="00F64175"/>
    <w:rsid w:val="00F6419B"/>
    <w:rsid w:val="00F64274"/>
    <w:rsid w:val="00F64461"/>
    <w:rsid w:val="00F64978"/>
    <w:rsid w:val="00F65E91"/>
    <w:rsid w:val="00F6647B"/>
    <w:rsid w:val="00F664A7"/>
    <w:rsid w:val="00F66A8F"/>
    <w:rsid w:val="00F66CB2"/>
    <w:rsid w:val="00F67222"/>
    <w:rsid w:val="00F6745D"/>
    <w:rsid w:val="00F67587"/>
    <w:rsid w:val="00F67618"/>
    <w:rsid w:val="00F72C29"/>
    <w:rsid w:val="00F730E8"/>
    <w:rsid w:val="00F731ED"/>
    <w:rsid w:val="00F73790"/>
    <w:rsid w:val="00F74AC1"/>
    <w:rsid w:val="00F74F9F"/>
    <w:rsid w:val="00F75822"/>
    <w:rsid w:val="00F758EE"/>
    <w:rsid w:val="00F76135"/>
    <w:rsid w:val="00F77FDB"/>
    <w:rsid w:val="00F801F9"/>
    <w:rsid w:val="00F82CAC"/>
    <w:rsid w:val="00F83A15"/>
    <w:rsid w:val="00F8474A"/>
    <w:rsid w:val="00F847AB"/>
    <w:rsid w:val="00F850E0"/>
    <w:rsid w:val="00F85108"/>
    <w:rsid w:val="00F85337"/>
    <w:rsid w:val="00F85FA8"/>
    <w:rsid w:val="00F8623F"/>
    <w:rsid w:val="00F863E3"/>
    <w:rsid w:val="00F86778"/>
    <w:rsid w:val="00F87342"/>
    <w:rsid w:val="00F87B3F"/>
    <w:rsid w:val="00F90CAF"/>
    <w:rsid w:val="00F910F0"/>
    <w:rsid w:val="00F915ED"/>
    <w:rsid w:val="00F91E22"/>
    <w:rsid w:val="00F91F1D"/>
    <w:rsid w:val="00F927F5"/>
    <w:rsid w:val="00F93469"/>
    <w:rsid w:val="00F9374B"/>
    <w:rsid w:val="00F939E7"/>
    <w:rsid w:val="00F93C1B"/>
    <w:rsid w:val="00F94095"/>
    <w:rsid w:val="00F943F3"/>
    <w:rsid w:val="00F945D4"/>
    <w:rsid w:val="00F94BC5"/>
    <w:rsid w:val="00F958B1"/>
    <w:rsid w:val="00F95C7F"/>
    <w:rsid w:val="00F96538"/>
    <w:rsid w:val="00F9694D"/>
    <w:rsid w:val="00F96986"/>
    <w:rsid w:val="00F96A80"/>
    <w:rsid w:val="00F977E8"/>
    <w:rsid w:val="00FA0054"/>
    <w:rsid w:val="00FA0095"/>
    <w:rsid w:val="00FA04B9"/>
    <w:rsid w:val="00FA1B45"/>
    <w:rsid w:val="00FA1BB7"/>
    <w:rsid w:val="00FA212D"/>
    <w:rsid w:val="00FA25FE"/>
    <w:rsid w:val="00FA307E"/>
    <w:rsid w:val="00FA34A1"/>
    <w:rsid w:val="00FA3BD3"/>
    <w:rsid w:val="00FA3D67"/>
    <w:rsid w:val="00FA4F6D"/>
    <w:rsid w:val="00FA509C"/>
    <w:rsid w:val="00FA51AF"/>
    <w:rsid w:val="00FA53EA"/>
    <w:rsid w:val="00FA54E8"/>
    <w:rsid w:val="00FA5711"/>
    <w:rsid w:val="00FA58D6"/>
    <w:rsid w:val="00FA6560"/>
    <w:rsid w:val="00FA6952"/>
    <w:rsid w:val="00FA6CE8"/>
    <w:rsid w:val="00FA6F99"/>
    <w:rsid w:val="00FA70ED"/>
    <w:rsid w:val="00FA7952"/>
    <w:rsid w:val="00FB0094"/>
    <w:rsid w:val="00FB0203"/>
    <w:rsid w:val="00FB047E"/>
    <w:rsid w:val="00FB054D"/>
    <w:rsid w:val="00FB06B7"/>
    <w:rsid w:val="00FB0B8D"/>
    <w:rsid w:val="00FB14E0"/>
    <w:rsid w:val="00FB210C"/>
    <w:rsid w:val="00FB34CB"/>
    <w:rsid w:val="00FB3645"/>
    <w:rsid w:val="00FB3BF0"/>
    <w:rsid w:val="00FB411A"/>
    <w:rsid w:val="00FB5778"/>
    <w:rsid w:val="00FB593D"/>
    <w:rsid w:val="00FB6513"/>
    <w:rsid w:val="00FB665F"/>
    <w:rsid w:val="00FB695F"/>
    <w:rsid w:val="00FB6D2E"/>
    <w:rsid w:val="00FB7455"/>
    <w:rsid w:val="00FB7995"/>
    <w:rsid w:val="00FC063C"/>
    <w:rsid w:val="00FC1508"/>
    <w:rsid w:val="00FC1DC6"/>
    <w:rsid w:val="00FC268F"/>
    <w:rsid w:val="00FC363E"/>
    <w:rsid w:val="00FC3AB3"/>
    <w:rsid w:val="00FC449E"/>
    <w:rsid w:val="00FC478E"/>
    <w:rsid w:val="00FC4DA9"/>
    <w:rsid w:val="00FC5353"/>
    <w:rsid w:val="00FC5457"/>
    <w:rsid w:val="00FC5EA1"/>
    <w:rsid w:val="00FC6140"/>
    <w:rsid w:val="00FC6BAC"/>
    <w:rsid w:val="00FC7142"/>
    <w:rsid w:val="00FC77B0"/>
    <w:rsid w:val="00FC78DC"/>
    <w:rsid w:val="00FC7B5C"/>
    <w:rsid w:val="00FD0166"/>
    <w:rsid w:val="00FD0743"/>
    <w:rsid w:val="00FD184A"/>
    <w:rsid w:val="00FD219B"/>
    <w:rsid w:val="00FD2745"/>
    <w:rsid w:val="00FD2A66"/>
    <w:rsid w:val="00FD2E47"/>
    <w:rsid w:val="00FD40A9"/>
    <w:rsid w:val="00FD5D05"/>
    <w:rsid w:val="00FD74B8"/>
    <w:rsid w:val="00FD7E0E"/>
    <w:rsid w:val="00FE088F"/>
    <w:rsid w:val="00FE13ED"/>
    <w:rsid w:val="00FE179F"/>
    <w:rsid w:val="00FE1D4C"/>
    <w:rsid w:val="00FE208A"/>
    <w:rsid w:val="00FE2AB0"/>
    <w:rsid w:val="00FE330E"/>
    <w:rsid w:val="00FE366E"/>
    <w:rsid w:val="00FE4000"/>
    <w:rsid w:val="00FE4621"/>
    <w:rsid w:val="00FE4E9D"/>
    <w:rsid w:val="00FE5232"/>
    <w:rsid w:val="00FE54D9"/>
    <w:rsid w:val="00FE54F6"/>
    <w:rsid w:val="00FE6D81"/>
    <w:rsid w:val="00FE7B1F"/>
    <w:rsid w:val="00FF0740"/>
    <w:rsid w:val="00FF0812"/>
    <w:rsid w:val="00FF090C"/>
    <w:rsid w:val="00FF0EAE"/>
    <w:rsid w:val="00FF14EA"/>
    <w:rsid w:val="00FF1EC8"/>
    <w:rsid w:val="00FF2999"/>
    <w:rsid w:val="00FF2B34"/>
    <w:rsid w:val="00FF2BBD"/>
    <w:rsid w:val="00FF37C1"/>
    <w:rsid w:val="00FF37C6"/>
    <w:rsid w:val="00FF3808"/>
    <w:rsid w:val="00FF39C0"/>
    <w:rsid w:val="00FF3A22"/>
    <w:rsid w:val="00FF4124"/>
    <w:rsid w:val="00FF44C3"/>
    <w:rsid w:val="00FF44F8"/>
    <w:rsid w:val="00FF47F9"/>
    <w:rsid w:val="00FF4F7C"/>
    <w:rsid w:val="00FF5542"/>
    <w:rsid w:val="00FF559F"/>
    <w:rsid w:val="00FF59E3"/>
    <w:rsid w:val="00FF62B7"/>
    <w:rsid w:val="00FF7A5F"/>
    <w:rsid w:val="01506A74"/>
    <w:rsid w:val="017A6B77"/>
    <w:rsid w:val="01C53E9C"/>
    <w:rsid w:val="02C2534B"/>
    <w:rsid w:val="032128C3"/>
    <w:rsid w:val="03C12DCD"/>
    <w:rsid w:val="03D80B70"/>
    <w:rsid w:val="03DB766E"/>
    <w:rsid w:val="040E3ADD"/>
    <w:rsid w:val="044071A9"/>
    <w:rsid w:val="04AA66F3"/>
    <w:rsid w:val="04DF5103"/>
    <w:rsid w:val="04E1762A"/>
    <w:rsid w:val="05790259"/>
    <w:rsid w:val="05821257"/>
    <w:rsid w:val="058C4049"/>
    <w:rsid w:val="059522D5"/>
    <w:rsid w:val="05E866DC"/>
    <w:rsid w:val="06B3799E"/>
    <w:rsid w:val="07142CD0"/>
    <w:rsid w:val="079F74E7"/>
    <w:rsid w:val="08975580"/>
    <w:rsid w:val="09067AC2"/>
    <w:rsid w:val="09B970EC"/>
    <w:rsid w:val="09D94940"/>
    <w:rsid w:val="0A9B567F"/>
    <w:rsid w:val="0B8F6A6E"/>
    <w:rsid w:val="0BBA7AB3"/>
    <w:rsid w:val="0C1006E0"/>
    <w:rsid w:val="0C6C036D"/>
    <w:rsid w:val="0D57116F"/>
    <w:rsid w:val="0D72066F"/>
    <w:rsid w:val="0D730491"/>
    <w:rsid w:val="0E46447D"/>
    <w:rsid w:val="0F5D224C"/>
    <w:rsid w:val="0F8B0C35"/>
    <w:rsid w:val="10E51529"/>
    <w:rsid w:val="12143A40"/>
    <w:rsid w:val="14125887"/>
    <w:rsid w:val="141D4441"/>
    <w:rsid w:val="144E5DDF"/>
    <w:rsid w:val="14A472DE"/>
    <w:rsid w:val="15144613"/>
    <w:rsid w:val="151E1269"/>
    <w:rsid w:val="15426C85"/>
    <w:rsid w:val="164B1F47"/>
    <w:rsid w:val="16940363"/>
    <w:rsid w:val="16D96445"/>
    <w:rsid w:val="1745310A"/>
    <w:rsid w:val="180C1D89"/>
    <w:rsid w:val="1870398A"/>
    <w:rsid w:val="18C16485"/>
    <w:rsid w:val="18FF7EF5"/>
    <w:rsid w:val="198D378D"/>
    <w:rsid w:val="1A0437BC"/>
    <w:rsid w:val="1A8A0617"/>
    <w:rsid w:val="1AA14D66"/>
    <w:rsid w:val="1B2C18EF"/>
    <w:rsid w:val="1BE15546"/>
    <w:rsid w:val="1C362F89"/>
    <w:rsid w:val="1C9F47E6"/>
    <w:rsid w:val="1CFF7659"/>
    <w:rsid w:val="1E984CE5"/>
    <w:rsid w:val="1F792C51"/>
    <w:rsid w:val="1F9A7BF1"/>
    <w:rsid w:val="201A3813"/>
    <w:rsid w:val="20532E6F"/>
    <w:rsid w:val="207E3474"/>
    <w:rsid w:val="20B6437A"/>
    <w:rsid w:val="21331671"/>
    <w:rsid w:val="21333B63"/>
    <w:rsid w:val="221709F1"/>
    <w:rsid w:val="229131E4"/>
    <w:rsid w:val="22962792"/>
    <w:rsid w:val="231D447F"/>
    <w:rsid w:val="23E84CBA"/>
    <w:rsid w:val="23F70746"/>
    <w:rsid w:val="24861B07"/>
    <w:rsid w:val="24BB2A89"/>
    <w:rsid w:val="2657132A"/>
    <w:rsid w:val="268811DB"/>
    <w:rsid w:val="276C147C"/>
    <w:rsid w:val="27BB3FBE"/>
    <w:rsid w:val="27E8602A"/>
    <w:rsid w:val="28481571"/>
    <w:rsid w:val="288D7B89"/>
    <w:rsid w:val="28B35F4A"/>
    <w:rsid w:val="29D60947"/>
    <w:rsid w:val="2ADF4A92"/>
    <w:rsid w:val="2B316E3A"/>
    <w:rsid w:val="2C226F36"/>
    <w:rsid w:val="2CB3212A"/>
    <w:rsid w:val="2D357BFC"/>
    <w:rsid w:val="2E361DCA"/>
    <w:rsid w:val="2E406BEC"/>
    <w:rsid w:val="2E83212B"/>
    <w:rsid w:val="2F491B5D"/>
    <w:rsid w:val="2FDC22D0"/>
    <w:rsid w:val="2FF13040"/>
    <w:rsid w:val="307D49E3"/>
    <w:rsid w:val="322C1559"/>
    <w:rsid w:val="32F02FC6"/>
    <w:rsid w:val="33C944CB"/>
    <w:rsid w:val="33F95DAB"/>
    <w:rsid w:val="347F2CE0"/>
    <w:rsid w:val="34CD27C2"/>
    <w:rsid w:val="35356E8B"/>
    <w:rsid w:val="363D7E52"/>
    <w:rsid w:val="366C2B7A"/>
    <w:rsid w:val="36895528"/>
    <w:rsid w:val="37BF674C"/>
    <w:rsid w:val="37E45C15"/>
    <w:rsid w:val="382B49A0"/>
    <w:rsid w:val="38A40ECA"/>
    <w:rsid w:val="3A085567"/>
    <w:rsid w:val="3A282FB0"/>
    <w:rsid w:val="3A621EEC"/>
    <w:rsid w:val="3B2623C2"/>
    <w:rsid w:val="3B747719"/>
    <w:rsid w:val="3BBB35DD"/>
    <w:rsid w:val="3CCF2901"/>
    <w:rsid w:val="3D4C1FD3"/>
    <w:rsid w:val="3D6A0C69"/>
    <w:rsid w:val="3E7569F1"/>
    <w:rsid w:val="40C877EC"/>
    <w:rsid w:val="41F669B6"/>
    <w:rsid w:val="420122FB"/>
    <w:rsid w:val="42194B45"/>
    <w:rsid w:val="422D07D9"/>
    <w:rsid w:val="423C06DD"/>
    <w:rsid w:val="4240426A"/>
    <w:rsid w:val="42C94FD6"/>
    <w:rsid w:val="42DD316C"/>
    <w:rsid w:val="43E07BD4"/>
    <w:rsid w:val="443C4754"/>
    <w:rsid w:val="44627A06"/>
    <w:rsid w:val="44C24A7E"/>
    <w:rsid w:val="44F536EC"/>
    <w:rsid w:val="45B0342E"/>
    <w:rsid w:val="462B36CF"/>
    <w:rsid w:val="465810C1"/>
    <w:rsid w:val="46A8554A"/>
    <w:rsid w:val="47763062"/>
    <w:rsid w:val="485F2408"/>
    <w:rsid w:val="48841A45"/>
    <w:rsid w:val="488523B2"/>
    <w:rsid w:val="48FF4813"/>
    <w:rsid w:val="490707D2"/>
    <w:rsid w:val="4911355A"/>
    <w:rsid w:val="496366C7"/>
    <w:rsid w:val="4A191002"/>
    <w:rsid w:val="4A9B5A20"/>
    <w:rsid w:val="4A9E221C"/>
    <w:rsid w:val="4B1D52EC"/>
    <w:rsid w:val="4B2F236F"/>
    <w:rsid w:val="4B4B11E1"/>
    <w:rsid w:val="4B6134EE"/>
    <w:rsid w:val="4B6E09D0"/>
    <w:rsid w:val="4B885722"/>
    <w:rsid w:val="4BD7630A"/>
    <w:rsid w:val="4C0E1178"/>
    <w:rsid w:val="4D221AE1"/>
    <w:rsid w:val="4E141941"/>
    <w:rsid w:val="4EA840D2"/>
    <w:rsid w:val="4ECC324D"/>
    <w:rsid w:val="4FA240C2"/>
    <w:rsid w:val="4FF3197B"/>
    <w:rsid w:val="51060BCF"/>
    <w:rsid w:val="52213A70"/>
    <w:rsid w:val="52F511F4"/>
    <w:rsid w:val="538C5F50"/>
    <w:rsid w:val="53B2342F"/>
    <w:rsid w:val="53D928F4"/>
    <w:rsid w:val="53F61B49"/>
    <w:rsid w:val="540344BB"/>
    <w:rsid w:val="548C1D65"/>
    <w:rsid w:val="54DE01A0"/>
    <w:rsid w:val="54E81D95"/>
    <w:rsid w:val="54EA1590"/>
    <w:rsid w:val="55FD7E39"/>
    <w:rsid w:val="56743708"/>
    <w:rsid w:val="5741540F"/>
    <w:rsid w:val="57594ECB"/>
    <w:rsid w:val="58D83900"/>
    <w:rsid w:val="591413EF"/>
    <w:rsid w:val="595B7E9D"/>
    <w:rsid w:val="598F6686"/>
    <w:rsid w:val="59E22AC0"/>
    <w:rsid w:val="5A495741"/>
    <w:rsid w:val="5AC95965"/>
    <w:rsid w:val="5B10566E"/>
    <w:rsid w:val="5B2829B8"/>
    <w:rsid w:val="5B671838"/>
    <w:rsid w:val="5BDB57C6"/>
    <w:rsid w:val="5CB965D9"/>
    <w:rsid w:val="5E261E8C"/>
    <w:rsid w:val="5F4E7EDA"/>
    <w:rsid w:val="5FD30092"/>
    <w:rsid w:val="608D6F3B"/>
    <w:rsid w:val="62193284"/>
    <w:rsid w:val="621F132D"/>
    <w:rsid w:val="622B6D0B"/>
    <w:rsid w:val="62595244"/>
    <w:rsid w:val="629608F0"/>
    <w:rsid w:val="63665BD5"/>
    <w:rsid w:val="64177A6E"/>
    <w:rsid w:val="644C19A2"/>
    <w:rsid w:val="64C04ED5"/>
    <w:rsid w:val="65267BBD"/>
    <w:rsid w:val="655D7702"/>
    <w:rsid w:val="657838F7"/>
    <w:rsid w:val="658971F4"/>
    <w:rsid w:val="65BF0105"/>
    <w:rsid w:val="65D62E60"/>
    <w:rsid w:val="65D94029"/>
    <w:rsid w:val="66361DB7"/>
    <w:rsid w:val="66442670"/>
    <w:rsid w:val="671320BF"/>
    <w:rsid w:val="671B1407"/>
    <w:rsid w:val="6733691E"/>
    <w:rsid w:val="67A71109"/>
    <w:rsid w:val="689B3FAD"/>
    <w:rsid w:val="68F205FC"/>
    <w:rsid w:val="69096CF1"/>
    <w:rsid w:val="697F2C44"/>
    <w:rsid w:val="6A384A92"/>
    <w:rsid w:val="6B4E3A65"/>
    <w:rsid w:val="6C693534"/>
    <w:rsid w:val="6CA673E2"/>
    <w:rsid w:val="6DE2733E"/>
    <w:rsid w:val="6E0B117C"/>
    <w:rsid w:val="6E701725"/>
    <w:rsid w:val="6E996E51"/>
    <w:rsid w:val="6F126181"/>
    <w:rsid w:val="6F7E4E45"/>
    <w:rsid w:val="701A7050"/>
    <w:rsid w:val="70364F31"/>
    <w:rsid w:val="70505457"/>
    <w:rsid w:val="705310E6"/>
    <w:rsid w:val="716A4F70"/>
    <w:rsid w:val="71D65B19"/>
    <w:rsid w:val="72023B0B"/>
    <w:rsid w:val="72206064"/>
    <w:rsid w:val="729C2CCE"/>
    <w:rsid w:val="72CB2F84"/>
    <w:rsid w:val="73F3543A"/>
    <w:rsid w:val="744D716B"/>
    <w:rsid w:val="74566F11"/>
    <w:rsid w:val="74D36C9A"/>
    <w:rsid w:val="74F126BE"/>
    <w:rsid w:val="750632D6"/>
    <w:rsid w:val="76703FB5"/>
    <w:rsid w:val="772752DF"/>
    <w:rsid w:val="77F24FA9"/>
    <w:rsid w:val="789915CE"/>
    <w:rsid w:val="78B25C7E"/>
    <w:rsid w:val="79CA3586"/>
    <w:rsid w:val="79DA230D"/>
    <w:rsid w:val="79E57E50"/>
    <w:rsid w:val="7A0F6CE8"/>
    <w:rsid w:val="7A8F2D38"/>
    <w:rsid w:val="7B5E2BF8"/>
    <w:rsid w:val="7BE43F56"/>
    <w:rsid w:val="7C2F4502"/>
    <w:rsid w:val="7C3974EC"/>
    <w:rsid w:val="7C6423A7"/>
    <w:rsid w:val="7E334BBD"/>
    <w:rsid w:val="7E4C5F38"/>
    <w:rsid w:val="7E6D3342"/>
    <w:rsid w:val="7E711F53"/>
    <w:rsid w:val="7F477001"/>
    <w:rsid w:val="7F8F4C18"/>
    <w:rsid w:val="7F9E6EED"/>
    <w:rsid w:val="7FB35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ourier New" w:hAnsi="Courier New"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pPr>
    <w:rPr>
      <w:rFonts w:ascii="Courier New" w:hAnsi="Courier New" w:eastAsia="宋体" w:cs="Times New Roman"/>
      <w:kern w:val="2"/>
      <w:sz w:val="21"/>
      <w:szCs w:val="24"/>
      <w:lang w:val="en-US" w:eastAsia="zh-CN" w:bidi="ar-SA"/>
    </w:rPr>
  </w:style>
  <w:style w:type="paragraph" w:styleId="3">
    <w:name w:val="heading 1"/>
    <w:basedOn w:val="1"/>
    <w:next w:val="1"/>
    <w:link w:val="62"/>
    <w:qFormat/>
    <w:uiPriority w:val="9"/>
    <w:pPr>
      <w:keepNext/>
      <w:keepLines/>
      <w:spacing w:before="20" w:after="20"/>
      <w:jc w:val="center"/>
      <w:outlineLvl w:val="0"/>
    </w:pPr>
    <w:rPr>
      <w:b/>
      <w:bCs/>
      <w:kern w:val="44"/>
      <w:sz w:val="28"/>
      <w:szCs w:val="44"/>
    </w:rPr>
  </w:style>
  <w:style w:type="paragraph" w:styleId="4">
    <w:name w:val="heading 2"/>
    <w:basedOn w:val="1"/>
    <w:next w:val="1"/>
    <w:link w:val="63"/>
    <w:qFormat/>
    <w:uiPriority w:val="9"/>
    <w:pPr>
      <w:keepNext/>
      <w:keepLines/>
      <w:jc w:val="left"/>
      <w:outlineLvl w:val="1"/>
    </w:pPr>
    <w:rPr>
      <w:rFonts w:ascii="Wingdings" w:hAnsi="Wingdings"/>
      <w:b/>
      <w:bCs/>
      <w:sz w:val="24"/>
      <w:szCs w:val="32"/>
    </w:rPr>
  </w:style>
  <w:style w:type="paragraph" w:styleId="5">
    <w:name w:val="heading 3"/>
    <w:basedOn w:val="1"/>
    <w:next w:val="1"/>
    <w:link w:val="64"/>
    <w:qFormat/>
    <w:uiPriority w:val="9"/>
    <w:pPr>
      <w:keepNext/>
      <w:keepLines/>
      <w:jc w:val="left"/>
      <w:outlineLvl w:val="2"/>
    </w:pPr>
    <w:rPr>
      <w:b/>
      <w:bCs/>
      <w:sz w:val="24"/>
      <w:szCs w:val="32"/>
    </w:rPr>
  </w:style>
  <w:style w:type="paragraph" w:styleId="6">
    <w:name w:val="heading 4"/>
    <w:basedOn w:val="1"/>
    <w:next w:val="1"/>
    <w:link w:val="65"/>
    <w:qFormat/>
    <w:uiPriority w:val="9"/>
    <w:pPr>
      <w:keepNext/>
      <w:keepLines/>
      <w:jc w:val="center"/>
      <w:outlineLvl w:val="3"/>
    </w:pPr>
    <w:rPr>
      <w:bCs/>
      <w:sz w:val="28"/>
    </w:rPr>
  </w:style>
  <w:style w:type="paragraph" w:styleId="7">
    <w:name w:val="heading 5"/>
    <w:basedOn w:val="1"/>
    <w:next w:val="1"/>
    <w:link w:val="66"/>
    <w:qFormat/>
    <w:uiPriority w:val="0"/>
    <w:pPr>
      <w:keepNext/>
      <w:keepLines/>
      <w:jc w:val="center"/>
      <w:outlineLvl w:val="4"/>
    </w:pPr>
    <w:rPr>
      <w:b/>
      <w:sz w:val="44"/>
    </w:rPr>
  </w:style>
  <w:style w:type="paragraph" w:styleId="8">
    <w:name w:val="heading 6"/>
    <w:basedOn w:val="1"/>
    <w:next w:val="1"/>
    <w:link w:val="67"/>
    <w:qFormat/>
    <w:uiPriority w:val="0"/>
    <w:pPr>
      <w:keepNext/>
      <w:keepLines/>
      <w:spacing w:before="240" w:after="64" w:line="320" w:lineRule="auto"/>
      <w:outlineLvl w:val="5"/>
    </w:pPr>
    <w:rPr>
      <w:rFonts w:ascii="等线 Light" w:hAnsi="等线 Light" w:eastAsia="等线 Light"/>
      <w:b/>
      <w:bCs/>
      <w:sz w:val="24"/>
    </w:rPr>
  </w:style>
  <w:style w:type="paragraph" w:styleId="9">
    <w:name w:val="heading 7"/>
    <w:basedOn w:val="1"/>
    <w:next w:val="1"/>
    <w:link w:val="68"/>
    <w:qFormat/>
    <w:uiPriority w:val="0"/>
    <w:pPr>
      <w:keepNext/>
      <w:keepLines/>
      <w:tabs>
        <w:tab w:val="left" w:pos="1296"/>
      </w:tabs>
      <w:spacing w:before="260" w:after="260" w:line="319" w:lineRule="auto"/>
      <w:outlineLvl w:val="6"/>
    </w:pPr>
    <w:rPr>
      <w:rFonts w:ascii="宋体" w:hAnsi="宋体"/>
      <w:b/>
      <w:bCs/>
      <w:sz w:val="24"/>
    </w:rPr>
  </w:style>
  <w:style w:type="paragraph" w:styleId="10">
    <w:name w:val="heading 8"/>
    <w:basedOn w:val="1"/>
    <w:next w:val="1"/>
    <w:link w:val="69"/>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1">
    <w:name w:val="heading 9"/>
    <w:basedOn w:val="1"/>
    <w:next w:val="1"/>
    <w:link w:val="70"/>
    <w:qFormat/>
    <w:uiPriority w:val="0"/>
    <w:pPr>
      <w:keepNext/>
      <w:keepLines/>
      <w:tabs>
        <w:tab w:val="left" w:pos="1584"/>
      </w:tabs>
      <w:spacing w:before="240" w:after="64" w:line="320" w:lineRule="auto"/>
      <w:ind w:left="1584" w:hanging="1584"/>
      <w:outlineLvl w:val="8"/>
    </w:pPr>
    <w:rPr>
      <w:rFonts w:ascii="Arial" w:hAnsi="Arial" w:eastAsia="黑体"/>
      <w:sz w:val="24"/>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1"/>
    <w:qFormat/>
    <w:uiPriority w:val="0"/>
  </w:style>
  <w:style w:type="paragraph" w:styleId="12">
    <w:name w:val="toc 7"/>
    <w:basedOn w:val="1"/>
    <w:next w:val="1"/>
    <w:qFormat/>
    <w:uiPriority w:val="39"/>
    <w:pPr>
      <w:ind w:left="1260"/>
      <w:jc w:val="left"/>
    </w:pPr>
    <w:rPr>
      <w:rFonts w:asciiTheme="minorHAnsi" w:eastAsiaTheme="minorHAnsi"/>
      <w:sz w:val="18"/>
      <w:szCs w:val="18"/>
    </w:rPr>
  </w:style>
  <w:style w:type="paragraph" w:styleId="13">
    <w:name w:val="List Number"/>
    <w:basedOn w:val="1"/>
    <w:qFormat/>
    <w:uiPriority w:val="0"/>
    <w:pPr>
      <w:tabs>
        <w:tab w:val="left" w:pos="845"/>
      </w:tabs>
      <w:adjustRightInd w:val="0"/>
      <w:ind w:left="845" w:hanging="420"/>
      <w:textAlignment w:val="baseline"/>
    </w:pPr>
    <w:rPr>
      <w:b/>
      <w:bCs/>
      <w:color w:val="000000"/>
      <w:kern w:val="0"/>
      <w:sz w:val="24"/>
      <w:szCs w:val="20"/>
    </w:rPr>
  </w:style>
  <w:style w:type="paragraph" w:styleId="14">
    <w:name w:val="Normal Indent"/>
    <w:basedOn w:val="1"/>
    <w:next w:val="1"/>
    <w:link w:val="71"/>
    <w:qFormat/>
    <w:uiPriority w:val="0"/>
    <w:pPr>
      <w:autoSpaceDE w:val="0"/>
      <w:autoSpaceDN w:val="0"/>
      <w:adjustRightInd w:val="0"/>
      <w:ind w:firstLine="420"/>
      <w:jc w:val="left"/>
      <w:textAlignment w:val="baseline"/>
    </w:pPr>
    <w:rPr>
      <w:rFonts w:eastAsia="Courier New"/>
      <w:kern w:val="0"/>
      <w:sz w:val="34"/>
      <w:szCs w:val="20"/>
    </w:rPr>
  </w:style>
  <w:style w:type="paragraph" w:styleId="15">
    <w:name w:val="caption"/>
    <w:basedOn w:val="1"/>
    <w:next w:val="1"/>
    <w:qFormat/>
    <w:uiPriority w:val="35"/>
    <w:rPr>
      <w:rFonts w:ascii="Wingdings" w:hAnsi="Wingdings" w:eastAsia="文鼎CS中黑" w:cs="Wingdings"/>
      <w:sz w:val="20"/>
      <w:szCs w:val="20"/>
    </w:rPr>
  </w:style>
  <w:style w:type="paragraph" w:styleId="16">
    <w:name w:val="Document Map"/>
    <w:basedOn w:val="1"/>
    <w:link w:val="333"/>
    <w:qFormat/>
    <w:uiPriority w:val="99"/>
    <w:pPr>
      <w:shd w:val="clear" w:color="auto" w:fill="000080"/>
    </w:pPr>
  </w:style>
  <w:style w:type="paragraph" w:styleId="17">
    <w:name w:val="annotation text"/>
    <w:basedOn w:val="1"/>
    <w:link w:val="72"/>
    <w:qFormat/>
    <w:uiPriority w:val="0"/>
    <w:pPr>
      <w:jc w:val="left"/>
    </w:pPr>
  </w:style>
  <w:style w:type="paragraph" w:styleId="18">
    <w:name w:val="Salutation"/>
    <w:basedOn w:val="1"/>
    <w:next w:val="1"/>
    <w:link w:val="334"/>
    <w:qFormat/>
    <w:uiPriority w:val="0"/>
  </w:style>
  <w:style w:type="paragraph" w:styleId="19">
    <w:name w:val="Body Text 3"/>
    <w:basedOn w:val="1"/>
    <w:link w:val="335"/>
    <w:qFormat/>
    <w:uiPriority w:val="0"/>
    <w:pPr>
      <w:spacing w:after="120"/>
    </w:pPr>
    <w:rPr>
      <w:sz w:val="16"/>
      <w:szCs w:val="16"/>
    </w:rPr>
  </w:style>
  <w:style w:type="paragraph" w:styleId="20">
    <w:name w:val="Body Text Indent"/>
    <w:basedOn w:val="1"/>
    <w:link w:val="73"/>
    <w:qFormat/>
    <w:uiPriority w:val="0"/>
    <w:pPr>
      <w:adjustRightInd w:val="0"/>
      <w:snapToGrid w:val="0"/>
      <w:ind w:firstLine="420" w:firstLineChars="200"/>
    </w:pPr>
  </w:style>
  <w:style w:type="paragraph" w:styleId="21">
    <w:name w:val="toc 5"/>
    <w:basedOn w:val="1"/>
    <w:next w:val="1"/>
    <w:qFormat/>
    <w:uiPriority w:val="39"/>
    <w:pPr>
      <w:ind w:left="840"/>
      <w:jc w:val="left"/>
    </w:pPr>
    <w:rPr>
      <w:rFonts w:asciiTheme="minorHAnsi" w:eastAsiaTheme="minorHAnsi"/>
      <w:sz w:val="18"/>
      <w:szCs w:val="18"/>
    </w:rPr>
  </w:style>
  <w:style w:type="paragraph" w:styleId="22">
    <w:name w:val="toc 3"/>
    <w:basedOn w:val="1"/>
    <w:next w:val="1"/>
    <w:qFormat/>
    <w:uiPriority w:val="39"/>
    <w:pPr>
      <w:ind w:left="420"/>
      <w:jc w:val="left"/>
    </w:pPr>
    <w:rPr>
      <w:rFonts w:asciiTheme="minorHAnsi" w:eastAsiaTheme="minorHAnsi"/>
      <w:i/>
      <w:iCs/>
      <w:sz w:val="20"/>
      <w:szCs w:val="20"/>
    </w:rPr>
  </w:style>
  <w:style w:type="paragraph" w:styleId="23">
    <w:name w:val="Plain Text"/>
    <w:basedOn w:val="1"/>
    <w:link w:val="74"/>
    <w:qFormat/>
    <w:uiPriority w:val="0"/>
    <w:rPr>
      <w:rFonts w:hAnsi="等线 Light" w:eastAsia="Courier New" w:cs="等线 Light"/>
      <w:szCs w:val="21"/>
    </w:rPr>
  </w:style>
  <w:style w:type="paragraph" w:styleId="24">
    <w:name w:val="toc 8"/>
    <w:basedOn w:val="1"/>
    <w:next w:val="1"/>
    <w:qFormat/>
    <w:uiPriority w:val="39"/>
    <w:pPr>
      <w:ind w:left="1470"/>
      <w:jc w:val="left"/>
    </w:pPr>
    <w:rPr>
      <w:rFonts w:asciiTheme="minorHAnsi" w:eastAsiaTheme="minorHAnsi"/>
      <w:sz w:val="18"/>
      <w:szCs w:val="18"/>
    </w:rPr>
  </w:style>
  <w:style w:type="paragraph" w:styleId="25">
    <w:name w:val="Date"/>
    <w:basedOn w:val="1"/>
    <w:next w:val="1"/>
    <w:link w:val="75"/>
    <w:qFormat/>
    <w:uiPriority w:val="99"/>
    <w:pPr>
      <w:autoSpaceDE w:val="0"/>
      <w:autoSpaceDN w:val="0"/>
      <w:adjustRightInd w:val="0"/>
      <w:textAlignment w:val="baseline"/>
    </w:pPr>
    <w:rPr>
      <w:kern w:val="0"/>
      <w:sz w:val="28"/>
      <w:szCs w:val="20"/>
    </w:rPr>
  </w:style>
  <w:style w:type="paragraph" w:styleId="26">
    <w:name w:val="Body Text Indent 2"/>
    <w:basedOn w:val="1"/>
    <w:link w:val="76"/>
    <w:qFormat/>
    <w:uiPriority w:val="0"/>
    <w:pPr>
      <w:spacing w:line="480" w:lineRule="exact"/>
      <w:ind w:left="810" w:firstLine="675"/>
    </w:pPr>
    <w:rPr>
      <w:rFonts w:eastAsia="SimSun-Identity-H"/>
      <w:sz w:val="30"/>
      <w:szCs w:val="20"/>
    </w:rPr>
  </w:style>
  <w:style w:type="paragraph" w:styleId="27">
    <w:name w:val="endnote text"/>
    <w:basedOn w:val="1"/>
    <w:link w:val="77"/>
    <w:qFormat/>
    <w:uiPriority w:val="0"/>
    <w:pPr>
      <w:snapToGrid w:val="0"/>
      <w:jc w:val="left"/>
    </w:pPr>
  </w:style>
  <w:style w:type="paragraph" w:styleId="28">
    <w:name w:val="Balloon Text"/>
    <w:basedOn w:val="1"/>
    <w:link w:val="78"/>
    <w:qFormat/>
    <w:uiPriority w:val="0"/>
    <w:rPr>
      <w:sz w:val="18"/>
      <w:szCs w:val="18"/>
    </w:rPr>
  </w:style>
  <w:style w:type="paragraph" w:styleId="29">
    <w:name w:val="footer"/>
    <w:basedOn w:val="1"/>
    <w:link w:val="79"/>
    <w:qFormat/>
    <w:uiPriority w:val="99"/>
    <w:pPr>
      <w:tabs>
        <w:tab w:val="center" w:pos="4153"/>
        <w:tab w:val="right" w:pos="8306"/>
      </w:tabs>
      <w:snapToGrid w:val="0"/>
      <w:jc w:val="left"/>
    </w:pPr>
    <w:rPr>
      <w:rFonts w:eastAsia="Courier New"/>
      <w:sz w:val="18"/>
      <w:szCs w:val="18"/>
    </w:rPr>
  </w:style>
  <w:style w:type="paragraph" w:styleId="30">
    <w:name w:val="header"/>
    <w:basedOn w:val="1"/>
    <w:link w:val="80"/>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spacing w:before="60" w:after="60"/>
      <w:jc w:val="left"/>
    </w:pPr>
    <w:rPr>
      <w:rFonts w:asciiTheme="minorHAnsi"/>
      <w:b/>
      <w:bCs/>
      <w:caps/>
      <w:sz w:val="32"/>
      <w:szCs w:val="20"/>
    </w:rPr>
  </w:style>
  <w:style w:type="paragraph" w:styleId="32">
    <w:name w:val="toc 4"/>
    <w:basedOn w:val="1"/>
    <w:next w:val="1"/>
    <w:qFormat/>
    <w:uiPriority w:val="39"/>
    <w:pPr>
      <w:ind w:left="630"/>
      <w:jc w:val="left"/>
    </w:pPr>
    <w:rPr>
      <w:rFonts w:asciiTheme="minorHAnsi" w:eastAsiaTheme="minorHAnsi"/>
      <w:sz w:val="18"/>
      <w:szCs w:val="18"/>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footnote text"/>
    <w:basedOn w:val="1"/>
    <w:link w:val="81"/>
    <w:qFormat/>
    <w:uiPriority w:val="0"/>
    <w:pPr>
      <w:snapToGrid w:val="0"/>
      <w:jc w:val="left"/>
    </w:pPr>
    <w:rPr>
      <w:sz w:val="18"/>
      <w:szCs w:val="20"/>
    </w:rPr>
  </w:style>
  <w:style w:type="paragraph" w:styleId="36">
    <w:name w:val="toc 6"/>
    <w:basedOn w:val="1"/>
    <w:next w:val="1"/>
    <w:qFormat/>
    <w:uiPriority w:val="39"/>
    <w:pPr>
      <w:ind w:left="1050"/>
      <w:jc w:val="left"/>
    </w:pPr>
    <w:rPr>
      <w:rFonts w:asciiTheme="minorHAnsi" w:eastAsiaTheme="minorHAnsi"/>
      <w:sz w:val="18"/>
      <w:szCs w:val="18"/>
    </w:rPr>
  </w:style>
  <w:style w:type="paragraph" w:styleId="37">
    <w:name w:val="Body Text Indent 3"/>
    <w:basedOn w:val="1"/>
    <w:link w:val="82"/>
    <w:qFormat/>
    <w:uiPriority w:val="99"/>
    <w:pPr>
      <w:adjustRightInd w:val="0"/>
      <w:snapToGrid w:val="0"/>
      <w:ind w:firstLine="560" w:firstLineChars="200"/>
    </w:pPr>
    <w:rPr>
      <w:sz w:val="28"/>
    </w:rPr>
  </w:style>
  <w:style w:type="paragraph" w:styleId="38">
    <w:name w:val="toc 2"/>
    <w:basedOn w:val="1"/>
    <w:next w:val="1"/>
    <w:qFormat/>
    <w:uiPriority w:val="39"/>
    <w:pPr>
      <w:ind w:left="210"/>
      <w:jc w:val="left"/>
    </w:pPr>
    <w:rPr>
      <w:rFonts w:asciiTheme="minorHAnsi" w:eastAsiaTheme="minorHAnsi"/>
      <w:smallCaps/>
      <w:sz w:val="20"/>
      <w:szCs w:val="20"/>
    </w:rPr>
  </w:style>
  <w:style w:type="paragraph" w:styleId="39">
    <w:name w:val="toc 9"/>
    <w:basedOn w:val="1"/>
    <w:next w:val="1"/>
    <w:qFormat/>
    <w:uiPriority w:val="39"/>
    <w:pPr>
      <w:ind w:left="1680"/>
      <w:jc w:val="left"/>
    </w:pPr>
    <w:rPr>
      <w:rFonts w:asciiTheme="minorHAnsi" w:eastAsiaTheme="minorHAnsi"/>
      <w:sz w:val="18"/>
      <w:szCs w:val="18"/>
    </w:rPr>
  </w:style>
  <w:style w:type="paragraph" w:styleId="40">
    <w:name w:val="Body Text 2"/>
    <w:basedOn w:val="1"/>
    <w:link w:val="83"/>
    <w:qFormat/>
    <w:uiPriority w:val="0"/>
    <w:pPr>
      <w:spacing w:after="120" w:line="480" w:lineRule="auto"/>
    </w:pPr>
  </w:style>
  <w:style w:type="paragraph" w:styleId="41">
    <w:name w:val="Normal (Web)"/>
    <w:basedOn w:val="1"/>
    <w:qFormat/>
    <w:uiPriority w:val="0"/>
    <w:pPr>
      <w:spacing w:before="100" w:beforeAutospacing="1" w:after="100" w:afterAutospacing="1"/>
      <w:jc w:val="left"/>
    </w:pPr>
    <w:rPr>
      <w:color w:val="000000"/>
      <w:kern w:val="0"/>
      <w:sz w:val="24"/>
    </w:rPr>
  </w:style>
  <w:style w:type="paragraph" w:styleId="42">
    <w:name w:val="Title"/>
    <w:basedOn w:val="1"/>
    <w:link w:val="84"/>
    <w:qFormat/>
    <w:uiPriority w:val="0"/>
    <w:pPr>
      <w:spacing w:before="240" w:after="60"/>
      <w:jc w:val="center"/>
      <w:outlineLvl w:val="0"/>
    </w:pPr>
    <w:rPr>
      <w:rFonts w:ascii="Wingdings" w:hAnsi="Wingdings"/>
      <w:b/>
      <w:bCs/>
      <w:sz w:val="32"/>
      <w:szCs w:val="32"/>
    </w:rPr>
  </w:style>
  <w:style w:type="paragraph" w:styleId="43">
    <w:name w:val="annotation subject"/>
    <w:basedOn w:val="17"/>
    <w:next w:val="17"/>
    <w:link w:val="85"/>
    <w:qFormat/>
    <w:uiPriority w:val="0"/>
    <w:rPr>
      <w:b/>
      <w:bCs/>
    </w:rPr>
  </w:style>
  <w:style w:type="paragraph" w:styleId="44">
    <w:name w:val="Body Text First Indent"/>
    <w:basedOn w:val="2"/>
    <w:link w:val="336"/>
    <w:qFormat/>
    <w:uiPriority w:val="99"/>
    <w:pPr>
      <w:spacing w:after="120" w:line="240" w:lineRule="auto"/>
      <w:ind w:firstLine="420" w:firstLineChars="100"/>
    </w:pPr>
    <w:rPr>
      <w:rFonts w:ascii="宋体" w:hAnsi="宋体"/>
    </w:rPr>
  </w:style>
  <w:style w:type="paragraph" w:styleId="45">
    <w:name w:val="Body Text First Indent 2"/>
    <w:basedOn w:val="20"/>
    <w:link w:val="86"/>
    <w:qFormat/>
    <w:uiPriority w:val="99"/>
    <w:pPr>
      <w:adjustRightInd/>
      <w:snapToGrid/>
      <w:spacing w:after="120" w:line="240" w:lineRule="auto"/>
      <w:ind w:left="420" w:leftChars="200"/>
    </w:pPr>
  </w:style>
  <w:style w:type="table" w:styleId="47">
    <w:name w:val="Table Grid"/>
    <w:basedOn w:val="46"/>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0"/>
    <w:rPr>
      <w:rFonts w:ascii="仿宋" w:hAnsi="仿宋" w:eastAsia="Courier New"/>
      <w:b/>
      <w:bCs/>
      <w:spacing w:val="10"/>
      <w:sz w:val="24"/>
      <w:lang w:val="en-US" w:eastAsia="zh-CN" w:bidi="ar-SA"/>
    </w:rPr>
  </w:style>
  <w:style w:type="character" w:styleId="50">
    <w:name w:val="endnote reference"/>
    <w:qFormat/>
    <w:uiPriority w:val="0"/>
    <w:rPr>
      <w:vertAlign w:val="superscript"/>
    </w:rPr>
  </w:style>
  <w:style w:type="character" w:styleId="51">
    <w:name w:val="page number"/>
    <w:qFormat/>
    <w:uiPriority w:val="0"/>
  </w:style>
  <w:style w:type="character" w:styleId="52">
    <w:name w:val="FollowedHyperlink"/>
    <w:qFormat/>
    <w:uiPriority w:val="0"/>
    <w:rPr>
      <w:color w:val="333333"/>
      <w:u w:val="none"/>
    </w:rPr>
  </w:style>
  <w:style w:type="character" w:styleId="53">
    <w:name w:val="Emphasis"/>
    <w:qFormat/>
    <w:uiPriority w:val="0"/>
    <w:rPr>
      <w:i/>
      <w:iCs/>
    </w:rPr>
  </w:style>
  <w:style w:type="character" w:styleId="54">
    <w:name w:val="HTML Definition"/>
    <w:qFormat/>
    <w:uiPriority w:val="0"/>
  </w:style>
  <w:style w:type="character" w:styleId="55">
    <w:name w:val="HTML Acronym"/>
    <w:qFormat/>
    <w:uiPriority w:val="0"/>
  </w:style>
  <w:style w:type="character" w:styleId="56">
    <w:name w:val="HTML Variable"/>
    <w:qFormat/>
    <w:uiPriority w:val="0"/>
  </w:style>
  <w:style w:type="character" w:styleId="57">
    <w:name w:val="Hyperlink"/>
    <w:qFormat/>
    <w:uiPriority w:val="99"/>
    <w:rPr>
      <w:color w:val="333333"/>
      <w:u w:val="none"/>
    </w:rPr>
  </w:style>
  <w:style w:type="character" w:styleId="58">
    <w:name w:val="HTML Code"/>
    <w:qFormat/>
    <w:uiPriority w:val="0"/>
    <w:rPr>
      <w:rFonts w:ascii="Courier New" w:hAnsi="Courier New"/>
      <w:sz w:val="20"/>
    </w:rPr>
  </w:style>
  <w:style w:type="character" w:styleId="59">
    <w:name w:val="annotation reference"/>
    <w:qFormat/>
    <w:uiPriority w:val="99"/>
    <w:rPr>
      <w:sz w:val="21"/>
      <w:szCs w:val="21"/>
    </w:rPr>
  </w:style>
  <w:style w:type="character" w:styleId="60">
    <w:name w:val="HTML Cite"/>
    <w:qFormat/>
    <w:uiPriority w:val="0"/>
  </w:style>
  <w:style w:type="character" w:customStyle="1" w:styleId="61">
    <w:name w:val="正文文本 Char"/>
    <w:link w:val="2"/>
    <w:qFormat/>
    <w:uiPriority w:val="0"/>
  </w:style>
  <w:style w:type="character" w:customStyle="1" w:styleId="62">
    <w:name w:val="标题 1 Char"/>
    <w:link w:val="3"/>
    <w:qFormat/>
    <w:uiPriority w:val="9"/>
    <w:rPr>
      <w:b/>
      <w:bCs/>
      <w:kern w:val="44"/>
      <w:sz w:val="28"/>
      <w:szCs w:val="44"/>
    </w:rPr>
  </w:style>
  <w:style w:type="character" w:customStyle="1" w:styleId="63">
    <w:name w:val="标题 2 Char1"/>
    <w:link w:val="4"/>
    <w:qFormat/>
    <w:uiPriority w:val="9"/>
    <w:rPr>
      <w:rFonts w:ascii="Wingdings" w:hAnsi="Wingdings"/>
      <w:b/>
      <w:bCs/>
      <w:sz w:val="24"/>
      <w:szCs w:val="32"/>
    </w:rPr>
  </w:style>
  <w:style w:type="character" w:customStyle="1" w:styleId="64">
    <w:name w:val="标题 3 Char"/>
    <w:link w:val="5"/>
    <w:qFormat/>
    <w:uiPriority w:val="9"/>
    <w:rPr>
      <w:b/>
      <w:bCs/>
      <w:sz w:val="24"/>
      <w:szCs w:val="32"/>
    </w:rPr>
  </w:style>
  <w:style w:type="character" w:customStyle="1" w:styleId="65">
    <w:name w:val="标题 4 Char"/>
    <w:link w:val="6"/>
    <w:qFormat/>
    <w:uiPriority w:val="9"/>
    <w:rPr>
      <w:rFonts w:ascii="Courier New" w:hAnsi="Courier New"/>
      <w:bCs/>
      <w:kern w:val="2"/>
      <w:sz w:val="28"/>
      <w:szCs w:val="24"/>
    </w:rPr>
  </w:style>
  <w:style w:type="character" w:customStyle="1" w:styleId="66">
    <w:name w:val="标题 5 Char"/>
    <w:link w:val="7"/>
    <w:qFormat/>
    <w:uiPriority w:val="0"/>
    <w:rPr>
      <w:rFonts w:ascii="Courier New" w:hAnsi="Courier New"/>
      <w:b/>
      <w:kern w:val="2"/>
      <w:sz w:val="44"/>
      <w:szCs w:val="24"/>
    </w:rPr>
  </w:style>
  <w:style w:type="character" w:customStyle="1" w:styleId="67">
    <w:name w:val="标题 6 Char"/>
    <w:link w:val="8"/>
    <w:qFormat/>
    <w:uiPriority w:val="0"/>
    <w:rPr>
      <w:rFonts w:ascii="等线 Light" w:hAnsi="等线 Light" w:eastAsia="等线 Light" w:cs="Times New Roman"/>
      <w:b/>
      <w:bCs/>
      <w:kern w:val="2"/>
      <w:sz w:val="24"/>
      <w:szCs w:val="24"/>
    </w:rPr>
  </w:style>
  <w:style w:type="character" w:customStyle="1" w:styleId="68">
    <w:name w:val="标题 7 Char"/>
    <w:link w:val="9"/>
    <w:qFormat/>
    <w:uiPriority w:val="0"/>
    <w:rPr>
      <w:rFonts w:ascii="宋体" w:hAnsi="宋体"/>
      <w:b/>
      <w:bCs/>
      <w:kern w:val="2"/>
      <w:sz w:val="24"/>
      <w:szCs w:val="24"/>
    </w:rPr>
  </w:style>
  <w:style w:type="character" w:customStyle="1" w:styleId="69">
    <w:name w:val="标题 8 Char"/>
    <w:link w:val="10"/>
    <w:qFormat/>
    <w:uiPriority w:val="0"/>
    <w:rPr>
      <w:rFonts w:ascii="Arial" w:hAnsi="Arial" w:eastAsia="黑体"/>
      <w:kern w:val="2"/>
      <w:sz w:val="24"/>
      <w:szCs w:val="24"/>
    </w:rPr>
  </w:style>
  <w:style w:type="character" w:customStyle="1" w:styleId="70">
    <w:name w:val="标题 9 Char"/>
    <w:link w:val="11"/>
    <w:qFormat/>
    <w:uiPriority w:val="0"/>
    <w:rPr>
      <w:rFonts w:ascii="Arial" w:hAnsi="Arial" w:eastAsia="黑体"/>
      <w:kern w:val="2"/>
      <w:sz w:val="24"/>
      <w:szCs w:val="21"/>
    </w:rPr>
  </w:style>
  <w:style w:type="character" w:customStyle="1" w:styleId="71">
    <w:name w:val="正文缩进 Char1"/>
    <w:link w:val="14"/>
    <w:qFormat/>
    <w:uiPriority w:val="0"/>
    <w:rPr>
      <w:rFonts w:ascii="Courier New" w:eastAsia="Courier New"/>
      <w:sz w:val="34"/>
      <w:lang w:val="en-US" w:eastAsia="zh-CN" w:bidi="ar-SA"/>
    </w:rPr>
  </w:style>
  <w:style w:type="character" w:customStyle="1" w:styleId="72">
    <w:name w:val="批注文字 Char1"/>
    <w:link w:val="17"/>
    <w:qFormat/>
    <w:uiPriority w:val="0"/>
    <w:rPr>
      <w:kern w:val="2"/>
      <w:sz w:val="21"/>
      <w:szCs w:val="24"/>
    </w:rPr>
  </w:style>
  <w:style w:type="character" w:customStyle="1" w:styleId="73">
    <w:name w:val="正文文本缩进 Char"/>
    <w:link w:val="20"/>
    <w:qFormat/>
    <w:uiPriority w:val="0"/>
    <w:rPr>
      <w:kern w:val="2"/>
      <w:sz w:val="21"/>
      <w:szCs w:val="24"/>
    </w:rPr>
  </w:style>
  <w:style w:type="character" w:customStyle="1" w:styleId="74">
    <w:name w:val="纯文本 Char"/>
    <w:link w:val="23"/>
    <w:qFormat/>
    <w:uiPriority w:val="99"/>
    <w:rPr>
      <w:rFonts w:ascii="Courier New" w:hAnsi="等线 Light" w:eastAsia="Courier New" w:cs="等线 Light"/>
      <w:kern w:val="2"/>
      <w:sz w:val="21"/>
      <w:szCs w:val="21"/>
      <w:lang w:val="en-US" w:eastAsia="zh-CN" w:bidi="ar-SA"/>
    </w:rPr>
  </w:style>
  <w:style w:type="character" w:customStyle="1" w:styleId="75">
    <w:name w:val="日期 Char"/>
    <w:link w:val="25"/>
    <w:qFormat/>
    <w:uiPriority w:val="99"/>
    <w:rPr>
      <w:rFonts w:ascii="Courier New"/>
      <w:sz w:val="28"/>
    </w:rPr>
  </w:style>
  <w:style w:type="character" w:customStyle="1" w:styleId="76">
    <w:name w:val="正文文本缩进 2 Char"/>
    <w:link w:val="26"/>
    <w:qFormat/>
    <w:uiPriority w:val="0"/>
    <w:rPr>
      <w:rFonts w:eastAsia="SimSun-Identity-H"/>
      <w:kern w:val="2"/>
      <w:sz w:val="30"/>
    </w:rPr>
  </w:style>
  <w:style w:type="character" w:customStyle="1" w:styleId="77">
    <w:name w:val="尾注文本 Char"/>
    <w:link w:val="27"/>
    <w:qFormat/>
    <w:uiPriority w:val="0"/>
    <w:rPr>
      <w:kern w:val="2"/>
      <w:sz w:val="21"/>
      <w:szCs w:val="24"/>
    </w:rPr>
  </w:style>
  <w:style w:type="character" w:customStyle="1" w:styleId="78">
    <w:name w:val="批注框文本 Char"/>
    <w:link w:val="28"/>
    <w:qFormat/>
    <w:uiPriority w:val="0"/>
    <w:rPr>
      <w:kern w:val="2"/>
      <w:sz w:val="18"/>
      <w:szCs w:val="18"/>
    </w:rPr>
  </w:style>
  <w:style w:type="character" w:customStyle="1" w:styleId="79">
    <w:name w:val="页脚 Char"/>
    <w:link w:val="29"/>
    <w:qFormat/>
    <w:uiPriority w:val="99"/>
    <w:rPr>
      <w:rFonts w:eastAsia="Courier New"/>
      <w:kern w:val="2"/>
      <w:sz w:val="18"/>
      <w:szCs w:val="18"/>
      <w:lang w:val="en-US" w:eastAsia="zh-CN" w:bidi="ar-SA"/>
    </w:rPr>
  </w:style>
  <w:style w:type="character" w:customStyle="1" w:styleId="80">
    <w:name w:val="页眉 Char"/>
    <w:link w:val="30"/>
    <w:qFormat/>
    <w:uiPriority w:val="99"/>
    <w:rPr>
      <w:kern w:val="2"/>
      <w:sz w:val="18"/>
      <w:szCs w:val="18"/>
    </w:rPr>
  </w:style>
  <w:style w:type="character" w:customStyle="1" w:styleId="81">
    <w:name w:val="脚注文本 Char"/>
    <w:link w:val="35"/>
    <w:qFormat/>
    <w:uiPriority w:val="0"/>
    <w:rPr>
      <w:kern w:val="2"/>
      <w:sz w:val="18"/>
    </w:rPr>
  </w:style>
  <w:style w:type="character" w:customStyle="1" w:styleId="82">
    <w:name w:val="正文文本缩进 3 Char"/>
    <w:link w:val="37"/>
    <w:qFormat/>
    <w:uiPriority w:val="99"/>
    <w:rPr>
      <w:rFonts w:ascii="Courier New" w:hAnsi="Courier New"/>
      <w:kern w:val="2"/>
      <w:sz w:val="28"/>
      <w:szCs w:val="24"/>
    </w:rPr>
  </w:style>
  <w:style w:type="character" w:customStyle="1" w:styleId="83">
    <w:name w:val="正文文本 2 Char"/>
    <w:link w:val="40"/>
    <w:qFormat/>
    <w:uiPriority w:val="0"/>
    <w:rPr>
      <w:kern w:val="2"/>
      <w:sz w:val="21"/>
      <w:szCs w:val="24"/>
    </w:rPr>
  </w:style>
  <w:style w:type="character" w:customStyle="1" w:styleId="84">
    <w:name w:val="标题 Char"/>
    <w:link w:val="42"/>
    <w:qFormat/>
    <w:uiPriority w:val="0"/>
    <w:rPr>
      <w:rFonts w:ascii="Wingdings" w:hAnsi="Wingdings" w:cs="Wingdings"/>
      <w:b/>
      <w:bCs/>
      <w:kern w:val="2"/>
      <w:sz w:val="32"/>
      <w:szCs w:val="32"/>
    </w:rPr>
  </w:style>
  <w:style w:type="character" w:customStyle="1" w:styleId="85">
    <w:name w:val="批注主题 Char"/>
    <w:link w:val="43"/>
    <w:qFormat/>
    <w:uiPriority w:val="0"/>
    <w:rPr>
      <w:b/>
      <w:bCs/>
      <w:kern w:val="2"/>
      <w:sz w:val="21"/>
      <w:szCs w:val="24"/>
    </w:rPr>
  </w:style>
  <w:style w:type="character" w:customStyle="1" w:styleId="86">
    <w:name w:val="正文首行缩进 2 Char1"/>
    <w:link w:val="45"/>
    <w:qFormat/>
    <w:uiPriority w:val="0"/>
  </w:style>
  <w:style w:type="character" w:customStyle="1" w:styleId="87">
    <w:name w:val="wen"/>
    <w:qFormat/>
    <w:uiPriority w:val="0"/>
    <w:rPr>
      <w:color w:val="FFFFFF"/>
      <w:shd w:val="clear" w:color="auto" w:fill="24A8F6"/>
    </w:rPr>
  </w:style>
  <w:style w:type="character" w:customStyle="1" w:styleId="88">
    <w:name w:val="wlwt"/>
    <w:qFormat/>
    <w:uiPriority w:val="0"/>
    <w:rPr>
      <w:color w:val="24A8F6"/>
    </w:rPr>
  </w:style>
  <w:style w:type="character" w:customStyle="1" w:styleId="89">
    <w:name w:val="font11"/>
    <w:qFormat/>
    <w:uiPriority w:val="0"/>
    <w:rPr>
      <w:rFonts w:ascii="Calibri" w:hAnsi="Calibri" w:cs="Calibri"/>
      <w:color w:val="000000"/>
      <w:sz w:val="24"/>
      <w:szCs w:val="24"/>
      <w:u w:val="none"/>
    </w:rPr>
  </w:style>
  <w:style w:type="character" w:customStyle="1" w:styleId="90">
    <w:name w:val="l-btn-icon-right"/>
    <w:qFormat/>
    <w:uiPriority w:val="0"/>
  </w:style>
  <w:style w:type="character" w:customStyle="1" w:styleId="91">
    <w:name w:val="H4 Char"/>
    <w:qFormat/>
    <w:uiPriority w:val="0"/>
    <w:rPr>
      <w:rFonts w:ascii="Wingdings" w:hAnsi="Wingdings" w:eastAsia="文鼎CS中黑"/>
      <w:b/>
      <w:sz w:val="28"/>
      <w:lang w:val="en-US" w:eastAsia="zh-CN"/>
    </w:rPr>
  </w:style>
  <w:style w:type="character" w:customStyle="1" w:styleId="92">
    <w:name w:val="l-btn-text"/>
    <w:qFormat/>
    <w:uiPriority w:val="0"/>
    <w:rPr>
      <w:vertAlign w:val="baseline"/>
    </w:rPr>
  </w:style>
  <w:style w:type="character" w:customStyle="1" w:styleId="93">
    <w:name w:val="l-btn-left1"/>
    <w:qFormat/>
    <w:uiPriority w:val="0"/>
  </w:style>
  <w:style w:type="character" w:customStyle="1" w:styleId="94">
    <w:name w:val="z-窗体顶端 字符"/>
    <w:link w:val="95"/>
    <w:qFormat/>
    <w:uiPriority w:val="34"/>
    <w:rPr>
      <w:kern w:val="2"/>
      <w:sz w:val="21"/>
      <w:szCs w:val="24"/>
    </w:rPr>
  </w:style>
  <w:style w:type="paragraph" w:customStyle="1" w:styleId="95">
    <w:name w:val="z-窗体顶端1"/>
    <w:basedOn w:val="1"/>
    <w:link w:val="94"/>
    <w:qFormat/>
    <w:uiPriority w:val="34"/>
    <w:pPr>
      <w:ind w:firstLine="420" w:firstLineChars="200"/>
    </w:pPr>
  </w:style>
  <w:style w:type="character" w:customStyle="1" w:styleId="96">
    <w:name w:val="正文文本 2 字符1"/>
    <w:qFormat/>
    <w:uiPriority w:val="0"/>
    <w:rPr>
      <w:kern w:val="2"/>
      <w:sz w:val="21"/>
      <w:szCs w:val="24"/>
    </w:rPr>
  </w:style>
  <w:style w:type="character" w:customStyle="1" w:styleId="97">
    <w:name w:val="l-btn-icon-left"/>
    <w:qFormat/>
    <w:uiPriority w:val="0"/>
  </w:style>
  <w:style w:type="character" w:customStyle="1" w:styleId="98">
    <w:name w:val="未处理的提及1"/>
    <w:unhideWhenUsed/>
    <w:qFormat/>
    <w:uiPriority w:val="99"/>
    <w:rPr>
      <w:color w:val="605E5C"/>
      <w:shd w:val="clear" w:color="auto" w:fill="E1DFDD"/>
    </w:rPr>
  </w:style>
  <w:style w:type="character" w:customStyle="1" w:styleId="99">
    <w:name w:val="apple-converted-space"/>
    <w:qFormat/>
    <w:uiPriority w:val="0"/>
  </w:style>
  <w:style w:type="character" w:customStyle="1" w:styleId="100">
    <w:name w:val="text91"/>
    <w:qFormat/>
    <w:uiPriority w:val="0"/>
    <w:rPr>
      <w:sz w:val="18"/>
      <w:szCs w:val="18"/>
      <w:u w:val="none"/>
    </w:rPr>
  </w:style>
  <w:style w:type="character" w:customStyle="1" w:styleId="101">
    <w:name w:val="正文缩进 Char Char1"/>
    <w:qFormat/>
    <w:uiPriority w:val="0"/>
    <w:rPr>
      <w:rFonts w:ascii="Courier New" w:eastAsia="Courier New"/>
      <w:sz w:val="34"/>
      <w:lang w:val="en-US" w:eastAsia="zh-CN" w:bidi="ar-SA"/>
    </w:rPr>
  </w:style>
  <w:style w:type="character" w:customStyle="1" w:styleId="102">
    <w:name w:val="l-btn-left2"/>
    <w:qFormat/>
    <w:uiPriority w:val="0"/>
  </w:style>
  <w:style w:type="character" w:customStyle="1" w:styleId="103">
    <w:name w:val="fontp1"/>
    <w:qFormat/>
    <w:uiPriority w:val="0"/>
    <w:rPr>
      <w:rFonts w:hint="eastAsia" w:ascii="Courier New" w:hAnsi="Courier New" w:eastAsia="Courier New"/>
      <w:sz w:val="18"/>
      <w:szCs w:val="18"/>
    </w:rPr>
  </w:style>
  <w:style w:type="character" w:customStyle="1" w:styleId="104">
    <w:name w:val="纯文本 Char2"/>
    <w:qFormat/>
    <w:locked/>
    <w:uiPriority w:val="0"/>
    <w:rPr>
      <w:rFonts w:ascii="Cambria Math" w:hAnsi="仿宋_GB2312" w:eastAsia="Cambria Math" w:cs="仿宋_GB2312"/>
      <w:sz w:val="21"/>
      <w:szCs w:val="21"/>
    </w:rPr>
  </w:style>
  <w:style w:type="character" w:customStyle="1" w:styleId="105">
    <w:name w:val="font91"/>
    <w:qFormat/>
    <w:uiPriority w:val="0"/>
    <w:rPr>
      <w:rFonts w:hint="eastAsia" w:ascii="宋体" w:hAnsi="宋体" w:eastAsia="宋体" w:cs="宋体"/>
      <w:color w:val="000000"/>
      <w:sz w:val="24"/>
      <w:szCs w:val="24"/>
      <w:u w:val="none"/>
    </w:rPr>
  </w:style>
  <w:style w:type="character" w:customStyle="1" w:styleId="106">
    <w:name w:val="纯文本 字符"/>
    <w:qFormat/>
    <w:uiPriority w:val="0"/>
    <w:rPr>
      <w:rFonts w:ascii="Courier New" w:hAnsi="等线 Light" w:cs="等线 Light"/>
      <w:kern w:val="2"/>
      <w:sz w:val="21"/>
      <w:szCs w:val="21"/>
    </w:rPr>
  </w:style>
  <w:style w:type="character" w:customStyle="1" w:styleId="107">
    <w:name w:val="正文模版 Char Char"/>
    <w:link w:val="108"/>
    <w:qFormat/>
    <w:uiPriority w:val="0"/>
    <w:rPr>
      <w:sz w:val="24"/>
    </w:rPr>
  </w:style>
  <w:style w:type="paragraph" w:customStyle="1" w:styleId="108">
    <w:name w:val="正文模版"/>
    <w:basedOn w:val="1"/>
    <w:link w:val="107"/>
    <w:qFormat/>
    <w:uiPriority w:val="0"/>
    <w:pPr>
      <w:ind w:firstLine="480" w:firstLineChars="200"/>
    </w:pPr>
    <w:rPr>
      <w:kern w:val="0"/>
      <w:sz w:val="24"/>
      <w:szCs w:val="20"/>
    </w:rPr>
  </w:style>
  <w:style w:type="character" w:customStyle="1" w:styleId="109">
    <w:name w:val="font21"/>
    <w:qFormat/>
    <w:uiPriority w:val="0"/>
    <w:rPr>
      <w:rFonts w:hint="eastAsia" w:ascii="宋体" w:hAnsi="宋体" w:eastAsia="宋体" w:cs="宋体"/>
      <w:color w:val="000000"/>
      <w:sz w:val="24"/>
      <w:szCs w:val="24"/>
      <w:u w:val="none"/>
    </w:rPr>
  </w:style>
  <w:style w:type="character" w:customStyle="1" w:styleId="110">
    <w:name w:val="z-窗体顶端 Char"/>
    <w:link w:val="111"/>
    <w:qFormat/>
    <w:uiPriority w:val="34"/>
    <w:rPr>
      <w:rFonts w:ascii="Times New Roman" w:hAnsi="Times New Roman" w:eastAsia="宋体" w:cs="Times New Roman"/>
      <w:kern w:val="2"/>
      <w:sz w:val="21"/>
      <w:szCs w:val="24"/>
    </w:rPr>
  </w:style>
  <w:style w:type="paragraph" w:customStyle="1" w:styleId="111">
    <w:name w:val="z-窗体顶端111"/>
    <w:basedOn w:val="1"/>
    <w:link w:val="110"/>
    <w:qFormat/>
    <w:uiPriority w:val="34"/>
    <w:pPr>
      <w:tabs>
        <w:tab w:val="left" w:pos="1276"/>
      </w:tabs>
      <w:ind w:firstLine="420" w:firstLineChars="200"/>
    </w:pPr>
    <w:rPr>
      <w:rFonts w:ascii="Times New Roman" w:hAnsi="Times New Roman"/>
    </w:rPr>
  </w:style>
  <w:style w:type="character" w:customStyle="1" w:styleId="112">
    <w:name w:val="font41"/>
    <w:qFormat/>
    <w:uiPriority w:val="0"/>
    <w:rPr>
      <w:rFonts w:hint="default" w:ascii="Calibri" w:hAnsi="Calibri" w:cs="Calibri"/>
      <w:color w:val="000000"/>
      <w:sz w:val="24"/>
      <w:szCs w:val="24"/>
      <w:u w:val="none"/>
    </w:rPr>
  </w:style>
  <w:style w:type="character" w:customStyle="1" w:styleId="113">
    <w:name w:val="纯文本 Char1"/>
    <w:qFormat/>
    <w:uiPriority w:val="0"/>
    <w:rPr>
      <w:rFonts w:ascii="Courier New" w:hAnsi="等线 Light" w:eastAsia="Courier New" w:cs="等线 Light"/>
      <w:kern w:val="2"/>
      <w:sz w:val="21"/>
      <w:szCs w:val="21"/>
      <w:lang w:val="en-US" w:eastAsia="zh-CN" w:bidi="ar-SA"/>
    </w:rPr>
  </w:style>
  <w:style w:type="character" w:customStyle="1" w:styleId="114">
    <w:name w:val="font71"/>
    <w:qFormat/>
    <w:uiPriority w:val="0"/>
    <w:rPr>
      <w:rFonts w:hint="eastAsia" w:ascii="宋体" w:hAnsi="宋体" w:eastAsia="宋体" w:cs="宋体"/>
      <w:color w:val="000000"/>
      <w:sz w:val="24"/>
      <w:szCs w:val="24"/>
      <w:u w:val="none"/>
    </w:rPr>
  </w:style>
  <w:style w:type="character" w:customStyle="1" w:styleId="115">
    <w:name w:val="font31"/>
    <w:qFormat/>
    <w:uiPriority w:val="0"/>
    <w:rPr>
      <w:rFonts w:hint="eastAsia" w:ascii="宋体" w:hAnsi="宋体" w:eastAsia="宋体" w:cs="宋体"/>
      <w:color w:val="000000"/>
      <w:sz w:val="22"/>
      <w:szCs w:val="22"/>
      <w:u w:val="none"/>
    </w:rPr>
  </w:style>
  <w:style w:type="character" w:customStyle="1" w:styleId="116">
    <w:name w:val="font121"/>
    <w:qFormat/>
    <w:uiPriority w:val="0"/>
    <w:rPr>
      <w:rFonts w:hint="default" w:ascii="Calibri" w:hAnsi="Calibri" w:cs="Calibri"/>
      <w:color w:val="000000"/>
      <w:sz w:val="24"/>
      <w:szCs w:val="24"/>
      <w:u w:val="none"/>
    </w:rPr>
  </w:style>
  <w:style w:type="character" w:customStyle="1" w:styleId="117">
    <w:name w:val="标题 2 Char"/>
    <w:qFormat/>
    <w:uiPriority w:val="0"/>
    <w:rPr>
      <w:rFonts w:ascii="Wingdings" w:hAnsi="Wingdings" w:eastAsia="文鼎CS中黑"/>
      <w:b/>
      <w:bCs/>
      <w:kern w:val="2"/>
      <w:sz w:val="32"/>
      <w:szCs w:val="32"/>
      <w:lang w:val="en-US" w:eastAsia="zh-CN" w:bidi="ar-SA"/>
    </w:rPr>
  </w:style>
  <w:style w:type="character" w:customStyle="1" w:styleId="118">
    <w:name w:val="l-btn-empty"/>
    <w:qFormat/>
    <w:uiPriority w:val="0"/>
  </w:style>
  <w:style w:type="character" w:customStyle="1" w:styleId="119">
    <w:name w:val="批注文字 Char"/>
    <w:qFormat/>
    <w:uiPriority w:val="99"/>
    <w:rPr>
      <w:kern w:val="2"/>
      <w:sz w:val="21"/>
      <w:szCs w:val="24"/>
    </w:rPr>
  </w:style>
  <w:style w:type="character" w:customStyle="1" w:styleId="120">
    <w:name w:val="列出段落 Char"/>
    <w:link w:val="121"/>
    <w:qFormat/>
    <w:uiPriority w:val="34"/>
    <w:rPr>
      <w:rFonts w:ascii="Calibri" w:hAnsi="Calibri" w:eastAsia="宋体" w:cs="Times New Roman"/>
      <w:kern w:val="1"/>
      <w:sz w:val="21"/>
      <w:szCs w:val="22"/>
      <w:lang w:eastAsia="ar-SA"/>
    </w:rPr>
  </w:style>
  <w:style w:type="paragraph" w:customStyle="1" w:styleId="121">
    <w:name w:val="列出段落1"/>
    <w:basedOn w:val="1"/>
    <w:link w:val="120"/>
    <w:qFormat/>
    <w:uiPriority w:val="34"/>
    <w:pPr>
      <w:tabs>
        <w:tab w:val="left" w:pos="1276"/>
      </w:tabs>
      <w:suppressAutoHyphens/>
      <w:ind w:firstLine="420" w:firstLineChars="200"/>
    </w:pPr>
    <w:rPr>
      <w:kern w:val="1"/>
      <w:szCs w:val="22"/>
      <w:lang w:eastAsia="ar-SA"/>
    </w:rPr>
  </w:style>
  <w:style w:type="character" w:customStyle="1" w:styleId="122">
    <w:name w:val="font01"/>
    <w:qFormat/>
    <w:uiPriority w:val="0"/>
    <w:rPr>
      <w:rFonts w:ascii="Calibri" w:hAnsi="Calibri" w:cs="Calibri"/>
      <w:color w:val="000000"/>
      <w:sz w:val="21"/>
      <w:szCs w:val="21"/>
      <w:u w:val="none"/>
    </w:rPr>
  </w:style>
  <w:style w:type="character" w:customStyle="1" w:styleId="123">
    <w:name w:val="arrow"/>
    <w:qFormat/>
    <w:uiPriority w:val="0"/>
  </w:style>
  <w:style w:type="character" w:customStyle="1" w:styleId="124">
    <w:name w:val="l-btn-left"/>
    <w:qFormat/>
    <w:uiPriority w:val="0"/>
    <w:rPr>
      <w:color w:val="333333"/>
    </w:rPr>
  </w:style>
  <w:style w:type="character" w:customStyle="1" w:styleId="125">
    <w:name w:val="列出段落 Char1"/>
    <w:link w:val="126"/>
    <w:qFormat/>
    <w:uiPriority w:val="1"/>
    <w:rPr>
      <w:rFonts w:ascii="华文中宋" w:hAnsi="华文中宋"/>
      <w:kern w:val="1"/>
      <w:sz w:val="21"/>
      <w:szCs w:val="22"/>
      <w:lang w:eastAsia="ar-SA"/>
    </w:rPr>
  </w:style>
  <w:style w:type="paragraph" w:styleId="126">
    <w:name w:val="List Paragraph"/>
    <w:basedOn w:val="1"/>
    <w:link w:val="125"/>
    <w:qFormat/>
    <w:uiPriority w:val="34"/>
    <w:pPr>
      <w:suppressAutoHyphens/>
      <w:ind w:firstLine="420"/>
    </w:pPr>
    <w:rPr>
      <w:rFonts w:ascii="华文中宋" w:hAnsi="华文中宋"/>
      <w:kern w:val="1"/>
      <w:szCs w:val="22"/>
      <w:lang w:eastAsia="ar-SA"/>
    </w:rPr>
  </w:style>
  <w:style w:type="character" w:customStyle="1" w:styleId="127">
    <w:name w:val="l-btn-left3"/>
    <w:qFormat/>
    <w:uiPriority w:val="0"/>
  </w:style>
  <w:style w:type="character" w:customStyle="1" w:styleId="128">
    <w:name w:val="页脚 字符"/>
    <w:qFormat/>
    <w:uiPriority w:val="99"/>
    <w:rPr>
      <w:rFonts w:ascii="华文中宋" w:hAnsi="华文中宋" w:eastAsia="Courier New" w:cs="宋体"/>
      <w:kern w:val="2"/>
      <w:sz w:val="18"/>
      <w:szCs w:val="18"/>
    </w:rPr>
  </w:style>
  <w:style w:type="character" w:customStyle="1" w:styleId="129">
    <w:name w:val="font61"/>
    <w:qFormat/>
    <w:uiPriority w:val="0"/>
    <w:rPr>
      <w:rFonts w:hint="default" w:ascii="Calibri" w:hAnsi="Calibri" w:cs="Calibri"/>
      <w:color w:val="000000"/>
      <w:sz w:val="22"/>
      <w:szCs w:val="22"/>
      <w:u w:val="none"/>
    </w:rPr>
  </w:style>
  <w:style w:type="paragraph" w:customStyle="1" w:styleId="130">
    <w:name w:val="xl81"/>
    <w:basedOn w:val="1"/>
    <w:qFormat/>
    <w:uiPriority w:val="0"/>
    <w:pPr>
      <w:shd w:val="clear" w:color="000000" w:fill="FFFFFF"/>
      <w:spacing w:before="100" w:beforeAutospacing="1" w:after="100" w:afterAutospacing="1"/>
      <w:jc w:val="left"/>
    </w:pPr>
    <w:rPr>
      <w:rFonts w:ascii="宋体" w:hAnsi="宋体" w:cs="宋体"/>
      <w:kern w:val="0"/>
      <w:sz w:val="24"/>
    </w:rPr>
  </w:style>
  <w:style w:type="paragraph" w:customStyle="1" w:styleId="131">
    <w:name w:val="xl172"/>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32">
    <w:name w:val="xl12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3">
    <w:name w:val="xl175"/>
    <w:basedOn w:val="1"/>
    <w:qFormat/>
    <w:uiPriority w:val="0"/>
    <w:pPr>
      <w:pBdr>
        <w:top w:val="single" w:color="000000" w:sz="4" w:space="0"/>
        <w:left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34">
    <w:name w:val="xl8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135">
    <w:name w:val="前言正文"/>
    <w:qFormat/>
    <w:uiPriority w:val="0"/>
    <w:pPr>
      <w:spacing w:before="120" w:line="360" w:lineRule="auto"/>
      <w:ind w:firstLine="425"/>
      <w:jc w:val="both"/>
    </w:pPr>
    <w:rPr>
      <w:rFonts w:ascii="Courier New" w:hAnsi="Courier New" w:eastAsia="SimSun-Identity-H" w:cs="Times New Roman"/>
      <w:kern w:val="2"/>
      <w:sz w:val="24"/>
      <w:szCs w:val="22"/>
      <w:lang w:val="en-US" w:eastAsia="zh-CN" w:bidi="ar-SA"/>
    </w:rPr>
  </w:style>
  <w:style w:type="paragraph" w:customStyle="1" w:styleId="136">
    <w:name w:val="默认段落字体 Para Char"/>
    <w:basedOn w:val="1"/>
    <w:qFormat/>
    <w:uiPriority w:val="0"/>
    <w:rPr>
      <w:b/>
      <w:sz w:val="28"/>
      <w:szCs w:val="28"/>
    </w:rPr>
  </w:style>
  <w:style w:type="paragraph" w:customStyle="1" w:styleId="137">
    <w:name w:val="xl12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8">
    <w:name w:val="Char Char Char Char"/>
    <w:basedOn w:val="1"/>
    <w:qFormat/>
    <w:uiPriority w:val="0"/>
    <w:pPr>
      <w:spacing w:after="160" w:line="240" w:lineRule="exact"/>
      <w:jc w:val="left"/>
    </w:pPr>
    <w:rPr>
      <w:kern w:val="0"/>
      <w:sz w:val="20"/>
      <w:szCs w:val="20"/>
      <w:lang w:eastAsia="en-US"/>
    </w:rPr>
  </w:style>
  <w:style w:type="paragraph" w:customStyle="1" w:styleId="139">
    <w:name w:val="网格 居中"/>
    <w:basedOn w:val="1"/>
    <w:qFormat/>
    <w:uiPriority w:val="0"/>
    <w:pPr>
      <w:jc w:val="center"/>
    </w:pPr>
    <w:rPr>
      <w:szCs w:val="20"/>
    </w:rPr>
  </w:style>
  <w:style w:type="paragraph" w:customStyle="1" w:styleId="140">
    <w:name w:val="xl16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41">
    <w:name w:val="xl1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42">
    <w:name w:val="前言目录"/>
    <w:next w:val="135"/>
    <w:qFormat/>
    <w:uiPriority w:val="0"/>
    <w:pPr>
      <w:spacing w:before="480" w:after="240" w:line="480" w:lineRule="auto"/>
      <w:jc w:val="center"/>
    </w:pPr>
    <w:rPr>
      <w:rFonts w:ascii="Courier New" w:hAnsi="Courier New" w:eastAsia="文鼎CS中黑" w:cs="Times New Roman"/>
      <w:b/>
      <w:kern w:val="2"/>
      <w:sz w:val="44"/>
      <w:szCs w:val="22"/>
      <w:lang w:val="en-US" w:eastAsia="zh-CN" w:bidi="ar-SA"/>
    </w:rPr>
  </w:style>
  <w:style w:type="paragraph" w:customStyle="1" w:styleId="143">
    <w:name w:val="正文_0"/>
    <w:qFormat/>
    <w:uiPriority w:val="0"/>
    <w:pPr>
      <w:widowControl w:val="0"/>
      <w:spacing w:line="360" w:lineRule="auto"/>
      <w:jc w:val="both"/>
    </w:pPr>
    <w:rPr>
      <w:rFonts w:ascii="Courier New" w:hAnsi="Courier New" w:eastAsia="宋体" w:cs="Times New Roman"/>
      <w:kern w:val="2"/>
      <w:sz w:val="21"/>
      <w:szCs w:val="24"/>
      <w:lang w:val="en-US" w:eastAsia="zh-CN" w:bidi="ar-SA"/>
    </w:rPr>
  </w:style>
  <w:style w:type="paragraph" w:customStyle="1" w:styleId="144">
    <w:name w:val="xl78"/>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145">
    <w:name w:val="xl19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6">
    <w:name w:val="xl1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7">
    <w:name w:val="xl14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3"/>
      <w:szCs w:val="23"/>
    </w:rPr>
  </w:style>
  <w:style w:type="paragraph" w:customStyle="1" w:styleId="148">
    <w:name w:val="xl10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49">
    <w:name w:val="xl89"/>
    <w:basedOn w:val="1"/>
    <w:qFormat/>
    <w:uiPriority w:val="0"/>
    <w:pPr>
      <w:spacing w:before="100" w:beforeAutospacing="1" w:after="100" w:afterAutospacing="1"/>
      <w:jc w:val="center"/>
    </w:pPr>
    <w:rPr>
      <w:rFonts w:cs="Courier New"/>
      <w:kern w:val="0"/>
      <w:sz w:val="23"/>
      <w:szCs w:val="23"/>
    </w:rPr>
  </w:style>
  <w:style w:type="paragraph" w:customStyle="1" w:styleId="150">
    <w:name w:val="EHPT"/>
    <w:basedOn w:val="1"/>
    <w:next w:val="2"/>
    <w:qFormat/>
    <w:uiPriority w:val="0"/>
    <w:pPr>
      <w:ind w:right="-694"/>
    </w:pPr>
    <w:rPr>
      <w:sz w:val="24"/>
      <w:szCs w:val="20"/>
    </w:rPr>
  </w:style>
  <w:style w:type="paragraph" w:customStyle="1" w:styleId="151">
    <w:name w:val="xl12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2">
    <w:name w:val="xl114"/>
    <w:basedOn w:val="1"/>
    <w:qFormat/>
    <w:uiPriority w:val="0"/>
    <w:pPr>
      <w:pBdr>
        <w:top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153">
    <w:name w:val="纯文本1"/>
    <w:basedOn w:val="1"/>
    <w:qFormat/>
    <w:uiPriority w:val="0"/>
    <w:pPr>
      <w:suppressAutoHyphens/>
    </w:pPr>
    <w:rPr>
      <w:kern w:val="1"/>
      <w:szCs w:val="20"/>
      <w:lang w:eastAsia="ar-SA"/>
    </w:rPr>
  </w:style>
  <w:style w:type="paragraph" w:customStyle="1" w:styleId="154">
    <w:name w:val="font5"/>
    <w:basedOn w:val="1"/>
    <w:qFormat/>
    <w:uiPriority w:val="0"/>
    <w:pPr>
      <w:spacing w:before="100" w:beforeAutospacing="1" w:after="100" w:afterAutospacing="1"/>
      <w:jc w:val="left"/>
    </w:pPr>
    <w:rPr>
      <w:rFonts w:cs="Courier New"/>
      <w:kern w:val="0"/>
      <w:sz w:val="23"/>
      <w:szCs w:val="23"/>
    </w:rPr>
  </w:style>
  <w:style w:type="paragraph" w:customStyle="1" w:styleId="155">
    <w:name w:val="xl80"/>
    <w:basedOn w:val="1"/>
    <w:qFormat/>
    <w:uiPriority w:val="0"/>
    <w:pPr>
      <w:shd w:val="clear" w:color="000000" w:fill="FFFFFF"/>
      <w:spacing w:before="100" w:beforeAutospacing="1" w:after="100" w:afterAutospacing="1"/>
      <w:jc w:val="center"/>
    </w:pPr>
    <w:rPr>
      <w:rFonts w:ascii="宋体" w:hAnsi="宋体" w:cs="宋体"/>
      <w:kern w:val="0"/>
      <w:sz w:val="22"/>
      <w:szCs w:val="22"/>
    </w:rPr>
  </w:style>
  <w:style w:type="paragraph" w:customStyle="1" w:styleId="156">
    <w:name w:val="xl19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7">
    <w:name w:val="xl179"/>
    <w:basedOn w:val="1"/>
    <w:qFormat/>
    <w:uiPriority w:val="0"/>
    <w:pPr>
      <w:pBdr>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58">
    <w:name w:val="普通 (Web)"/>
    <w:basedOn w:val="1"/>
    <w:qFormat/>
    <w:uiPriority w:val="0"/>
    <w:pPr>
      <w:spacing w:before="100" w:beforeAutospacing="1" w:after="100" w:afterAutospacing="1"/>
      <w:jc w:val="left"/>
    </w:pPr>
    <w:rPr>
      <w:kern w:val="0"/>
      <w:sz w:val="24"/>
      <w:szCs w:val="20"/>
    </w:rPr>
  </w:style>
  <w:style w:type="paragraph" w:customStyle="1" w:styleId="159">
    <w:name w:val="xl90"/>
    <w:basedOn w:val="1"/>
    <w:qFormat/>
    <w:uiPriority w:val="0"/>
    <w:pPr>
      <w:spacing w:before="100" w:beforeAutospacing="1" w:after="100" w:afterAutospacing="1"/>
      <w:jc w:val="left"/>
    </w:pPr>
    <w:rPr>
      <w:rFonts w:cs="Courier New"/>
      <w:b/>
      <w:bCs/>
      <w:kern w:val="0"/>
      <w:sz w:val="23"/>
      <w:szCs w:val="23"/>
    </w:rPr>
  </w:style>
  <w:style w:type="paragraph" w:customStyle="1" w:styleId="160">
    <w:name w:val="Default"/>
    <w:qFormat/>
    <w:uiPriority w:val="0"/>
    <w:pPr>
      <w:widowControl w:val="0"/>
      <w:autoSpaceDE w:val="0"/>
      <w:autoSpaceDN w:val="0"/>
      <w:adjustRightInd w:val="0"/>
      <w:spacing w:line="360" w:lineRule="auto"/>
      <w:jc w:val="both"/>
    </w:pPr>
    <w:rPr>
      <w:rFonts w:ascii="Wingdings" w:hAnsi="Wingdings" w:eastAsia="宋体" w:cs="Wingdings"/>
      <w:color w:val="000000"/>
      <w:kern w:val="2"/>
      <w:sz w:val="24"/>
      <w:szCs w:val="24"/>
      <w:lang w:val="en-US" w:eastAsia="zh-CN" w:bidi="ar-SA"/>
    </w:rPr>
  </w:style>
  <w:style w:type="paragraph" w:customStyle="1" w:styleId="161">
    <w:name w:val="Char Char13"/>
    <w:basedOn w:val="1"/>
    <w:qFormat/>
    <w:uiPriority w:val="0"/>
    <w:pPr>
      <w:spacing w:after="160" w:line="240" w:lineRule="exact"/>
      <w:jc w:val="left"/>
    </w:pPr>
    <w:rPr>
      <w:rFonts w:eastAsia="SimSun-Identity-H"/>
      <w:kern w:val="0"/>
      <w:sz w:val="24"/>
      <w:szCs w:val="20"/>
      <w:lang w:eastAsia="en-US"/>
    </w:rPr>
  </w:style>
  <w:style w:type="paragraph" w:customStyle="1" w:styleId="162">
    <w:name w:val="xl19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163">
    <w:name w:val="xl88"/>
    <w:basedOn w:val="1"/>
    <w:qFormat/>
    <w:uiPriority w:val="0"/>
    <w:pPr>
      <w:spacing w:before="100" w:beforeAutospacing="1" w:after="100" w:afterAutospacing="1"/>
      <w:jc w:val="left"/>
    </w:pPr>
    <w:rPr>
      <w:rFonts w:cs="Courier New"/>
      <w:kern w:val="0"/>
      <w:sz w:val="23"/>
      <w:szCs w:val="23"/>
    </w:rPr>
  </w:style>
  <w:style w:type="paragraph" w:customStyle="1" w:styleId="164">
    <w:name w:val="xl12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65">
    <w:name w:val="_Style 207"/>
    <w:basedOn w:val="1"/>
    <w:next w:val="126"/>
    <w:qFormat/>
    <w:uiPriority w:val="34"/>
    <w:pPr>
      <w:suppressAutoHyphens/>
      <w:ind w:firstLine="420"/>
    </w:pPr>
    <w:rPr>
      <w:rFonts w:ascii="华文中宋" w:hAnsi="华文中宋"/>
      <w:kern w:val="1"/>
      <w:szCs w:val="22"/>
      <w:lang w:eastAsia="ar-SA"/>
    </w:rPr>
  </w:style>
  <w:style w:type="paragraph" w:customStyle="1" w:styleId="166">
    <w:name w:val="Char Char Char"/>
    <w:basedOn w:val="1"/>
    <w:qFormat/>
    <w:uiPriority w:val="0"/>
    <w:rPr>
      <w:rFonts w:ascii="仿宋" w:hAnsi="仿宋"/>
      <w:sz w:val="24"/>
      <w:szCs w:val="20"/>
    </w:rPr>
  </w:style>
  <w:style w:type="paragraph" w:customStyle="1" w:styleId="167">
    <w:name w:val="xl19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168">
    <w:name w:val="xl102"/>
    <w:basedOn w:val="1"/>
    <w:qFormat/>
    <w:uiPriority w:val="0"/>
    <w:pPr>
      <w:spacing w:before="100" w:beforeAutospacing="1" w:after="100" w:afterAutospacing="1"/>
      <w:jc w:val="center"/>
    </w:pPr>
    <w:rPr>
      <w:rFonts w:cs="Courier New"/>
      <w:b/>
      <w:bCs/>
      <w:color w:val="FF0000"/>
      <w:kern w:val="0"/>
      <w:sz w:val="22"/>
      <w:szCs w:val="22"/>
    </w:rPr>
  </w:style>
  <w:style w:type="paragraph" w:customStyle="1" w:styleId="169">
    <w:name w:val="xl12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70">
    <w:name w:val="Char Char Char11"/>
    <w:basedOn w:val="1"/>
    <w:qFormat/>
    <w:uiPriority w:val="0"/>
    <w:pPr>
      <w:spacing w:after="160" w:line="240" w:lineRule="exact"/>
      <w:jc w:val="left"/>
    </w:pPr>
    <w:rPr>
      <w:szCs w:val="20"/>
    </w:rPr>
  </w:style>
  <w:style w:type="paragraph" w:customStyle="1" w:styleId="171">
    <w:name w:val="xl13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cs="Courier New"/>
      <w:kern w:val="0"/>
      <w:sz w:val="23"/>
      <w:szCs w:val="23"/>
    </w:rPr>
  </w:style>
  <w:style w:type="paragraph" w:customStyle="1" w:styleId="172">
    <w:name w:val="表格内容"/>
    <w:basedOn w:val="1"/>
    <w:qFormat/>
    <w:uiPriority w:val="0"/>
    <w:pPr>
      <w:adjustRightInd w:val="0"/>
      <w:jc w:val="left"/>
    </w:pPr>
  </w:style>
  <w:style w:type="paragraph" w:customStyle="1" w:styleId="173">
    <w:name w:val="修订1"/>
    <w:unhideWhenUsed/>
    <w:qFormat/>
    <w:uiPriority w:val="99"/>
    <w:pPr>
      <w:spacing w:line="360" w:lineRule="auto"/>
      <w:jc w:val="both"/>
    </w:pPr>
    <w:rPr>
      <w:rFonts w:ascii="Courier New" w:hAnsi="Courier New" w:eastAsia="宋体" w:cs="Times New Roman"/>
      <w:kern w:val="2"/>
      <w:sz w:val="21"/>
      <w:szCs w:val="24"/>
      <w:lang w:val="en-US" w:eastAsia="zh-CN" w:bidi="ar-SA"/>
    </w:rPr>
  </w:style>
  <w:style w:type="paragraph" w:customStyle="1" w:styleId="174">
    <w:name w:val="xl15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75">
    <w:name w:val="Char Char Char Char Char Char Char Char Char Char Char Char1 Char"/>
    <w:basedOn w:val="16"/>
    <w:qFormat/>
    <w:uiPriority w:val="0"/>
  </w:style>
  <w:style w:type="paragraph" w:customStyle="1" w:styleId="176">
    <w:name w:val="xl176"/>
    <w:basedOn w:val="1"/>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77">
    <w:name w:val="正文标号1"/>
    <w:basedOn w:val="1"/>
    <w:qFormat/>
    <w:uiPriority w:val="0"/>
    <w:rPr>
      <w:sz w:val="24"/>
      <w:lang w:val="en-GB"/>
    </w:rPr>
  </w:style>
  <w:style w:type="paragraph" w:customStyle="1" w:styleId="178">
    <w:name w:val="正文 A"/>
    <w:qFormat/>
    <w:uiPriority w:val="0"/>
    <w:pPr>
      <w:widowControl w:val="0"/>
      <w:spacing w:line="360" w:lineRule="auto"/>
      <w:jc w:val="both"/>
    </w:pPr>
    <w:rPr>
      <w:rFonts w:ascii="Courier New" w:hAnsi="Arial Unicode MS" w:eastAsia="宋体" w:cs="Arial Unicode MS"/>
      <w:color w:val="000000"/>
      <w:kern w:val="2"/>
      <w:sz w:val="21"/>
      <w:szCs w:val="21"/>
      <w:u w:color="000000"/>
      <w:lang w:val="en-US" w:eastAsia="zh-CN" w:bidi="ar-SA"/>
    </w:rPr>
  </w:style>
  <w:style w:type="paragraph" w:customStyle="1" w:styleId="179">
    <w:name w:val="xl154"/>
    <w:basedOn w:val="1"/>
    <w:qFormat/>
    <w:uiPriority w:val="0"/>
    <w:pPr>
      <w:pBdr>
        <w:top w:val="single" w:color="auto" w:sz="4" w:space="0"/>
        <w:left w:val="single" w:color="auto" w:sz="4" w:space="0"/>
      </w:pBdr>
      <w:spacing w:before="100" w:beforeAutospacing="1" w:after="100" w:afterAutospacing="1"/>
      <w:jc w:val="left"/>
    </w:pPr>
    <w:rPr>
      <w:rFonts w:cs="Courier New"/>
      <w:b/>
      <w:bCs/>
      <w:kern w:val="0"/>
      <w:sz w:val="23"/>
      <w:szCs w:val="23"/>
    </w:rPr>
  </w:style>
  <w:style w:type="paragraph" w:customStyle="1" w:styleId="180">
    <w:name w:val="xl97"/>
    <w:basedOn w:val="1"/>
    <w:qFormat/>
    <w:uiPriority w:val="0"/>
    <w:pPr>
      <w:spacing w:before="100" w:beforeAutospacing="1" w:after="100" w:afterAutospacing="1"/>
      <w:jc w:val="left"/>
    </w:pPr>
    <w:rPr>
      <w:rFonts w:cs="Courier New"/>
      <w:kern w:val="0"/>
      <w:sz w:val="23"/>
      <w:szCs w:val="23"/>
    </w:rPr>
  </w:style>
  <w:style w:type="paragraph" w:customStyle="1" w:styleId="181">
    <w:name w:val="xl15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2">
    <w:name w:val="xl1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83">
    <w:name w:val="xl18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4">
    <w:name w:val="原点"/>
    <w:basedOn w:val="1"/>
    <w:qFormat/>
    <w:uiPriority w:val="0"/>
    <w:pPr>
      <w:numPr>
        <w:ilvl w:val="0"/>
        <w:numId w:val="1"/>
      </w:numPr>
      <w:tabs>
        <w:tab w:val="left" w:pos="927"/>
      </w:tabs>
      <w:adjustRightInd w:val="0"/>
      <w:ind w:firstLine="200" w:firstLineChars="200"/>
    </w:pPr>
    <w:rPr>
      <w:sz w:val="32"/>
    </w:rPr>
  </w:style>
  <w:style w:type="paragraph" w:customStyle="1" w:styleId="185">
    <w:name w:val="xl142"/>
    <w:basedOn w:val="1"/>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86">
    <w:name w:val="03表文"/>
    <w:basedOn w:val="1"/>
    <w:qFormat/>
    <w:uiPriority w:val="0"/>
    <w:pPr>
      <w:jc w:val="center"/>
    </w:pPr>
  </w:style>
  <w:style w:type="paragraph" w:customStyle="1" w:styleId="187">
    <w:name w:val="msonormal"/>
    <w:basedOn w:val="1"/>
    <w:qFormat/>
    <w:uiPriority w:val="0"/>
    <w:pPr>
      <w:spacing w:before="100" w:beforeAutospacing="1" w:after="100" w:afterAutospacing="1"/>
      <w:jc w:val="left"/>
    </w:pPr>
    <w:rPr>
      <w:rFonts w:ascii="宋体" w:hAnsi="宋体" w:cs="宋体"/>
      <w:kern w:val="0"/>
      <w:sz w:val="24"/>
    </w:rPr>
  </w:style>
  <w:style w:type="paragraph" w:customStyle="1" w:styleId="188">
    <w:name w:val="xl153"/>
    <w:basedOn w:val="1"/>
    <w:qFormat/>
    <w:uiPriority w:val="0"/>
    <w:pPr>
      <w:pBdr>
        <w:top w:val="single" w:color="auto" w:sz="4" w:space="0"/>
        <w:left w:val="single" w:color="auto" w:sz="4" w:space="0"/>
      </w:pBdr>
      <w:spacing w:before="100" w:beforeAutospacing="1" w:after="100" w:afterAutospacing="1"/>
      <w:jc w:val="center"/>
    </w:pPr>
    <w:rPr>
      <w:rFonts w:cs="Courier New"/>
      <w:b/>
      <w:bCs/>
      <w:kern w:val="0"/>
      <w:sz w:val="23"/>
      <w:szCs w:val="23"/>
    </w:rPr>
  </w:style>
  <w:style w:type="paragraph" w:customStyle="1" w:styleId="189">
    <w:name w:val="xl157"/>
    <w:basedOn w:val="1"/>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190">
    <w:name w:val="xl1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91">
    <w:name w:val="Char Char"/>
    <w:basedOn w:val="1"/>
    <w:qFormat/>
    <w:uiPriority w:val="0"/>
    <w:pPr>
      <w:spacing w:after="160" w:line="240" w:lineRule="exact"/>
      <w:jc w:val="left"/>
    </w:pPr>
    <w:rPr>
      <w:rFonts w:eastAsia="SimSun-Identity-H"/>
      <w:kern w:val="0"/>
      <w:sz w:val="24"/>
      <w:szCs w:val="20"/>
      <w:lang w:eastAsia="en-US"/>
    </w:rPr>
  </w:style>
  <w:style w:type="paragraph" w:customStyle="1" w:styleId="192">
    <w:name w:val="xl163"/>
    <w:basedOn w:val="1"/>
    <w:qFormat/>
    <w:uiPriority w:val="0"/>
    <w:pPr>
      <w:pBdr>
        <w:top w:val="single" w:color="000000" w:sz="4" w:space="0"/>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193">
    <w:name w:val="xl108"/>
    <w:basedOn w:val="1"/>
    <w:qFormat/>
    <w:uiPriority w:val="0"/>
    <w:pPr>
      <w:pBdr>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194">
    <w:name w:val="xl87"/>
    <w:basedOn w:val="1"/>
    <w:qFormat/>
    <w:uiPriority w:val="0"/>
    <w:pPr>
      <w:spacing w:before="100" w:beforeAutospacing="1" w:after="100" w:afterAutospacing="1"/>
      <w:jc w:val="left"/>
    </w:pPr>
    <w:rPr>
      <w:rFonts w:cs="Courier New"/>
      <w:kern w:val="0"/>
      <w:sz w:val="24"/>
    </w:rPr>
  </w:style>
  <w:style w:type="paragraph" w:customStyle="1" w:styleId="195">
    <w:name w:val="xl17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color w:val="FF0000"/>
      <w:kern w:val="0"/>
      <w:sz w:val="23"/>
      <w:szCs w:val="23"/>
    </w:rPr>
  </w:style>
  <w:style w:type="paragraph" w:customStyle="1" w:styleId="196">
    <w:name w:val="WPSOffice手动目录 2"/>
    <w:qFormat/>
    <w:uiPriority w:val="0"/>
    <w:pPr>
      <w:spacing w:line="360" w:lineRule="auto"/>
      <w:ind w:left="200" w:leftChars="200"/>
      <w:jc w:val="both"/>
    </w:pPr>
    <w:rPr>
      <w:rFonts w:ascii="Courier New" w:hAnsi="Courier New" w:eastAsia="宋体" w:cs="Times New Roman"/>
      <w:kern w:val="2"/>
      <w:sz w:val="21"/>
      <w:szCs w:val="24"/>
      <w:lang w:val="en-US" w:eastAsia="zh-CN" w:bidi="ar-SA"/>
    </w:rPr>
  </w:style>
  <w:style w:type="paragraph" w:customStyle="1" w:styleId="197">
    <w:name w:val="xl96"/>
    <w:basedOn w:val="1"/>
    <w:qFormat/>
    <w:uiPriority w:val="0"/>
    <w:pPr>
      <w:spacing w:before="100" w:beforeAutospacing="1" w:after="100" w:afterAutospacing="1"/>
      <w:jc w:val="left"/>
    </w:pPr>
    <w:rPr>
      <w:rFonts w:cs="Courier New"/>
      <w:color w:val="000000"/>
      <w:kern w:val="0"/>
      <w:sz w:val="23"/>
      <w:szCs w:val="23"/>
    </w:rPr>
  </w:style>
  <w:style w:type="paragraph" w:customStyle="1" w:styleId="198">
    <w:name w:val="Normal1"/>
    <w:basedOn w:val="1"/>
    <w:qFormat/>
    <w:uiPriority w:val="0"/>
    <w:pPr>
      <w:tabs>
        <w:tab w:val="left" w:pos="840"/>
      </w:tabs>
      <w:ind w:left="840" w:hanging="420"/>
    </w:pPr>
    <w:rPr>
      <w:rFonts w:eastAsia="@文鼎CS中黑"/>
      <w:kern w:val="0"/>
      <w:szCs w:val="21"/>
    </w:rPr>
  </w:style>
  <w:style w:type="paragraph" w:customStyle="1" w:styleId="199">
    <w:name w:val="xl25"/>
    <w:basedOn w:val="1"/>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200">
    <w:name w:val="xl13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1">
    <w:name w:val="xl155"/>
    <w:basedOn w:val="1"/>
    <w:qFormat/>
    <w:uiPriority w:val="0"/>
    <w:pPr>
      <w:pBdr>
        <w:top w:val="single" w:color="auto" w:sz="4" w:space="0"/>
      </w:pBdr>
      <w:spacing w:before="100" w:beforeAutospacing="1" w:after="100" w:afterAutospacing="1"/>
      <w:jc w:val="center"/>
    </w:pPr>
    <w:rPr>
      <w:rFonts w:cs="Courier New"/>
      <w:b/>
      <w:bCs/>
      <w:kern w:val="0"/>
      <w:sz w:val="23"/>
      <w:szCs w:val="23"/>
    </w:rPr>
  </w:style>
  <w:style w:type="paragraph" w:customStyle="1" w:styleId="202">
    <w:name w:val="xl11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3">
    <w:name w:val="xl1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4">
    <w:name w:val="xl107"/>
    <w:basedOn w:val="1"/>
    <w:qFormat/>
    <w:uiPriority w:val="0"/>
    <w:pPr>
      <w:pBdr>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05">
    <w:name w:val="xl200"/>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06">
    <w:name w:val="xl170"/>
    <w:basedOn w:val="1"/>
    <w:qFormat/>
    <w:uiPriority w:val="0"/>
    <w:pPr>
      <w:pBdr>
        <w:top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07">
    <w:name w:val="xl196"/>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8">
    <w:name w:val="xl174"/>
    <w:basedOn w:val="1"/>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09">
    <w:name w:val="xl94"/>
    <w:basedOn w:val="1"/>
    <w:qFormat/>
    <w:uiPriority w:val="0"/>
    <w:pPr>
      <w:spacing w:before="100" w:beforeAutospacing="1" w:after="100" w:afterAutospacing="1"/>
      <w:jc w:val="left"/>
    </w:pPr>
    <w:rPr>
      <w:rFonts w:cs="Courier New"/>
      <w:kern w:val="0"/>
      <w:sz w:val="23"/>
      <w:szCs w:val="23"/>
    </w:rPr>
  </w:style>
  <w:style w:type="paragraph" w:customStyle="1" w:styleId="210">
    <w:name w:val="xl141"/>
    <w:basedOn w:val="1"/>
    <w:qFormat/>
    <w:uiPriority w:val="0"/>
    <w:pPr>
      <w:pBdr>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11">
    <w:name w:val="xl76"/>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12">
    <w:name w:val="xl109"/>
    <w:basedOn w:val="1"/>
    <w:qFormat/>
    <w:uiPriority w:val="0"/>
    <w:pPr>
      <w:pBdr>
        <w:bottom w:val="single" w:color="auto" w:sz="4" w:space="0"/>
      </w:pBdr>
      <w:spacing w:before="100" w:beforeAutospacing="1" w:after="100" w:afterAutospacing="1"/>
      <w:jc w:val="center"/>
    </w:pPr>
    <w:rPr>
      <w:rFonts w:cs="Courier New"/>
      <w:b/>
      <w:bCs/>
      <w:kern w:val="0"/>
      <w:sz w:val="23"/>
      <w:szCs w:val="23"/>
    </w:rPr>
  </w:style>
  <w:style w:type="paragraph" w:customStyle="1" w:styleId="213">
    <w:name w:val="xl1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14">
    <w:name w:val="xl15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5">
    <w:name w:val="xl1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2"/>
      <w:szCs w:val="22"/>
    </w:rPr>
  </w:style>
  <w:style w:type="paragraph" w:customStyle="1" w:styleId="216">
    <w:name w:val="xl101"/>
    <w:basedOn w:val="1"/>
    <w:qFormat/>
    <w:uiPriority w:val="0"/>
    <w:pPr>
      <w:spacing w:before="100" w:beforeAutospacing="1" w:after="100" w:afterAutospacing="1"/>
      <w:jc w:val="center"/>
    </w:pPr>
    <w:rPr>
      <w:rFonts w:cs="Courier New"/>
      <w:color w:val="FF0000"/>
      <w:kern w:val="0"/>
      <w:sz w:val="22"/>
      <w:szCs w:val="22"/>
    </w:rPr>
  </w:style>
  <w:style w:type="paragraph" w:customStyle="1" w:styleId="217">
    <w:name w:val="font7"/>
    <w:basedOn w:val="1"/>
    <w:qFormat/>
    <w:uiPriority w:val="0"/>
    <w:pPr>
      <w:spacing w:before="100" w:beforeAutospacing="1" w:after="100" w:afterAutospacing="1"/>
      <w:jc w:val="left"/>
    </w:pPr>
    <w:rPr>
      <w:rFonts w:cs="Courier New"/>
      <w:kern w:val="0"/>
      <w:sz w:val="22"/>
      <w:szCs w:val="22"/>
    </w:rPr>
  </w:style>
  <w:style w:type="paragraph" w:customStyle="1" w:styleId="218">
    <w:name w:val="xl173"/>
    <w:basedOn w:val="1"/>
    <w:qFormat/>
    <w:uiPriority w:val="0"/>
    <w:pPr>
      <w:pBdr>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9">
    <w:name w:val="xl165"/>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0">
    <w:name w:val="xl99"/>
    <w:basedOn w:val="1"/>
    <w:qFormat/>
    <w:uiPriority w:val="0"/>
    <w:pPr>
      <w:spacing w:before="100" w:beforeAutospacing="1" w:after="100" w:afterAutospacing="1"/>
      <w:jc w:val="center"/>
    </w:pPr>
    <w:rPr>
      <w:rFonts w:cs="Courier New"/>
      <w:color w:val="FF0000"/>
      <w:kern w:val="0"/>
      <w:sz w:val="23"/>
      <w:szCs w:val="23"/>
    </w:rPr>
  </w:style>
  <w:style w:type="paragraph" w:customStyle="1" w:styleId="221">
    <w:name w:val="xl8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2"/>
      <w:szCs w:val="22"/>
    </w:rPr>
  </w:style>
  <w:style w:type="paragraph" w:customStyle="1" w:styleId="222">
    <w:name w:val="xl111"/>
    <w:basedOn w:val="1"/>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23">
    <w:name w:val="xl1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4">
    <w:name w:val="xl95"/>
    <w:basedOn w:val="1"/>
    <w:qFormat/>
    <w:uiPriority w:val="0"/>
    <w:pPr>
      <w:shd w:val="clear" w:color="000000" w:fill="FFFFFF"/>
      <w:spacing w:before="100" w:beforeAutospacing="1" w:after="100" w:afterAutospacing="1"/>
      <w:jc w:val="left"/>
    </w:pPr>
    <w:rPr>
      <w:rFonts w:cs="Courier New"/>
      <w:color w:val="000000"/>
      <w:kern w:val="0"/>
      <w:sz w:val="23"/>
      <w:szCs w:val="23"/>
    </w:rPr>
  </w:style>
  <w:style w:type="paragraph" w:customStyle="1" w:styleId="225">
    <w:name w:val="xl181"/>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6">
    <w:name w:val="正文内容"/>
    <w:basedOn w:val="1"/>
    <w:qFormat/>
    <w:uiPriority w:val="0"/>
    <w:rPr>
      <w:rFonts w:ascii="Wingdings" w:hAnsi="Wingdings"/>
      <w:spacing w:val="-12"/>
      <w:szCs w:val="20"/>
    </w:rPr>
  </w:style>
  <w:style w:type="paragraph" w:customStyle="1" w:styleId="227">
    <w:name w:val="xl11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28">
    <w:name w:val="xl189"/>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9">
    <w:name w:val="xl92"/>
    <w:basedOn w:val="1"/>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230">
    <w:name w:val="xl10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31">
    <w:name w:val="xl19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32">
    <w:name w:val="xl1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3">
    <w:name w:val="xl1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4">
    <w:name w:val="xl156"/>
    <w:basedOn w:val="1"/>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235">
    <w:name w:val="xl201"/>
    <w:basedOn w:val="1"/>
    <w:qFormat/>
    <w:uiPriority w:val="0"/>
    <w:pPr>
      <w:pBdr>
        <w:bottom w:val="single" w:color="auto" w:sz="4" w:space="0"/>
      </w:pBdr>
      <w:spacing w:before="100" w:beforeAutospacing="1" w:after="100" w:afterAutospacing="1"/>
      <w:jc w:val="center"/>
    </w:pPr>
    <w:rPr>
      <w:rFonts w:cs="Courier New"/>
      <w:b/>
      <w:bCs/>
      <w:kern w:val="0"/>
      <w:sz w:val="36"/>
      <w:szCs w:val="36"/>
    </w:rPr>
  </w:style>
  <w:style w:type="paragraph" w:customStyle="1" w:styleId="236">
    <w:name w:val="Char Char Char Char Char Char Char"/>
    <w:basedOn w:val="1"/>
    <w:qFormat/>
    <w:uiPriority w:val="0"/>
    <w:pPr>
      <w:tabs>
        <w:tab w:val="left" w:pos="425"/>
      </w:tabs>
      <w:ind w:left="425" w:hanging="425"/>
    </w:pPr>
    <w:rPr>
      <w:rFonts w:eastAsia="SimSun-Identity-H"/>
      <w:kern w:val="24"/>
      <w:sz w:val="24"/>
    </w:rPr>
  </w:style>
  <w:style w:type="paragraph" w:customStyle="1" w:styleId="237">
    <w:name w:val="WPSOffice手动目录 1"/>
    <w:qFormat/>
    <w:uiPriority w:val="0"/>
    <w:pPr>
      <w:spacing w:line="360" w:lineRule="auto"/>
      <w:jc w:val="both"/>
    </w:pPr>
    <w:rPr>
      <w:rFonts w:ascii="Courier New" w:hAnsi="Courier New" w:eastAsia="宋体" w:cs="Times New Roman"/>
      <w:kern w:val="2"/>
      <w:sz w:val="21"/>
      <w:szCs w:val="24"/>
      <w:lang w:val="en-US" w:eastAsia="zh-CN" w:bidi="ar-SA"/>
    </w:rPr>
  </w:style>
  <w:style w:type="paragraph" w:customStyle="1" w:styleId="238">
    <w:name w:val="xl183"/>
    <w:basedOn w:val="1"/>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39">
    <w:name w:val="xl19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240">
    <w:name w:val="xl14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4"/>
    </w:rPr>
  </w:style>
  <w:style w:type="paragraph" w:customStyle="1" w:styleId="241">
    <w:name w:val="xl180"/>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42">
    <w:name w:val="Char Char11"/>
    <w:basedOn w:val="1"/>
    <w:qFormat/>
    <w:uiPriority w:val="0"/>
    <w:rPr>
      <w:b/>
      <w:sz w:val="28"/>
      <w:szCs w:val="28"/>
    </w:rPr>
  </w:style>
  <w:style w:type="paragraph" w:customStyle="1" w:styleId="243">
    <w:name w:val="xl16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44">
    <w:name w:val="font8"/>
    <w:basedOn w:val="1"/>
    <w:qFormat/>
    <w:uiPriority w:val="0"/>
    <w:pPr>
      <w:spacing w:before="100" w:beforeAutospacing="1" w:after="100" w:afterAutospacing="1"/>
      <w:jc w:val="left"/>
    </w:pPr>
    <w:rPr>
      <w:rFonts w:cs="Courier New"/>
      <w:b/>
      <w:bCs/>
      <w:kern w:val="0"/>
      <w:sz w:val="22"/>
      <w:szCs w:val="22"/>
    </w:rPr>
  </w:style>
  <w:style w:type="paragraph" w:customStyle="1" w:styleId="245">
    <w:name w:val="xl110"/>
    <w:basedOn w:val="1"/>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46">
    <w:name w:val="xl103"/>
    <w:basedOn w:val="1"/>
    <w:qFormat/>
    <w:uiPriority w:val="0"/>
    <w:pPr>
      <w:spacing w:before="100" w:beforeAutospacing="1" w:after="100" w:afterAutospacing="1"/>
      <w:jc w:val="left"/>
    </w:pPr>
    <w:rPr>
      <w:rFonts w:cs="Courier New"/>
      <w:color w:val="FF0000"/>
      <w:kern w:val="0"/>
      <w:sz w:val="24"/>
    </w:rPr>
  </w:style>
  <w:style w:type="paragraph" w:customStyle="1" w:styleId="247">
    <w:name w:val="样式4"/>
    <w:basedOn w:val="1"/>
    <w:qFormat/>
    <w:uiPriority w:val="0"/>
    <w:pPr>
      <w:tabs>
        <w:tab w:val="left" w:pos="874"/>
      </w:tabs>
      <w:ind w:left="874" w:hanging="420"/>
    </w:pPr>
    <w:rPr>
      <w:sz w:val="24"/>
    </w:rPr>
  </w:style>
  <w:style w:type="paragraph" w:customStyle="1" w:styleId="248">
    <w:name w:val="xl8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249">
    <w:name w:val="xl16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50">
    <w:name w:val="msolistparagraph"/>
    <w:basedOn w:val="1"/>
    <w:qFormat/>
    <w:uiPriority w:val="0"/>
    <w:pPr>
      <w:ind w:firstLine="420" w:firstLineChars="200"/>
    </w:pPr>
  </w:style>
  <w:style w:type="paragraph" w:styleId="251">
    <w:name w:val="No Spacing"/>
    <w:qFormat/>
    <w:uiPriority w:val="1"/>
    <w:pPr>
      <w:widowControl w:val="0"/>
      <w:spacing w:line="360" w:lineRule="auto"/>
      <w:jc w:val="both"/>
    </w:pPr>
    <w:rPr>
      <w:rFonts w:ascii="Courier New" w:hAnsi="Courier New" w:eastAsia="宋体" w:cs="Times New Roman"/>
      <w:kern w:val="2"/>
      <w:sz w:val="24"/>
      <w:szCs w:val="22"/>
      <w:lang w:val="en-US" w:eastAsia="zh-CN" w:bidi="ar-SA"/>
    </w:rPr>
  </w:style>
  <w:style w:type="paragraph" w:customStyle="1" w:styleId="252">
    <w:name w:val="xl8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253">
    <w:name w:val="xl93"/>
    <w:basedOn w:val="1"/>
    <w:qFormat/>
    <w:uiPriority w:val="0"/>
    <w:pPr>
      <w:spacing w:before="100" w:beforeAutospacing="1" w:after="100" w:afterAutospacing="1"/>
      <w:jc w:val="left"/>
    </w:pPr>
    <w:rPr>
      <w:rFonts w:cs="Courier New"/>
      <w:kern w:val="0"/>
      <w:sz w:val="23"/>
      <w:szCs w:val="23"/>
    </w:rPr>
  </w:style>
  <w:style w:type="paragraph" w:customStyle="1" w:styleId="254">
    <w:name w:val="xl16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cs="Courier New"/>
      <w:kern w:val="0"/>
      <w:sz w:val="23"/>
      <w:szCs w:val="23"/>
    </w:rPr>
  </w:style>
  <w:style w:type="paragraph" w:customStyle="1" w:styleId="255">
    <w:name w:val="xl115"/>
    <w:basedOn w:val="1"/>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56">
    <w:name w:val="xl1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2"/>
      <w:szCs w:val="22"/>
    </w:rPr>
  </w:style>
  <w:style w:type="paragraph" w:customStyle="1" w:styleId="257">
    <w:name w:val="xl1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258">
    <w:name w:val="xl11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59">
    <w:name w:val="p0"/>
    <w:basedOn w:val="1"/>
    <w:qFormat/>
    <w:uiPriority w:val="0"/>
    <w:rPr>
      <w:rFonts w:ascii="华文中宋" w:hAnsi="华文中宋" w:cs="Courier New"/>
      <w:kern w:val="0"/>
      <w:szCs w:val="21"/>
    </w:rPr>
  </w:style>
  <w:style w:type="paragraph" w:customStyle="1" w:styleId="260">
    <w:name w:val="Char"/>
    <w:basedOn w:val="1"/>
    <w:qFormat/>
    <w:uiPriority w:val="0"/>
    <w:pPr>
      <w:spacing w:after="160" w:line="240" w:lineRule="exact"/>
      <w:jc w:val="left"/>
    </w:pPr>
    <w:rPr>
      <w:kern w:val="0"/>
      <w:szCs w:val="20"/>
      <w:lang w:eastAsia="en-US"/>
    </w:rPr>
  </w:style>
  <w:style w:type="paragraph" w:customStyle="1" w:styleId="261">
    <w:name w:val="xl98"/>
    <w:basedOn w:val="1"/>
    <w:qFormat/>
    <w:uiPriority w:val="0"/>
    <w:pPr>
      <w:spacing w:before="100" w:beforeAutospacing="1" w:after="100" w:afterAutospacing="1"/>
      <w:jc w:val="left"/>
    </w:pPr>
    <w:rPr>
      <w:rFonts w:cs="Courier New"/>
      <w:kern w:val="0"/>
      <w:sz w:val="23"/>
      <w:szCs w:val="23"/>
    </w:rPr>
  </w:style>
  <w:style w:type="paragraph" w:customStyle="1" w:styleId="262">
    <w:name w:val="4"/>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jc w:val="both"/>
    </w:pPr>
    <w:rPr>
      <w:rFonts w:ascii="仿宋_GB2312" w:hAnsi="Courier New" w:eastAsia="仿宋_GB2312" w:cs="Times New Roman"/>
      <w:color w:val="000000"/>
      <w:kern w:val="2"/>
      <w:sz w:val="21"/>
      <w:szCs w:val="24"/>
      <w:lang w:val="en-US" w:eastAsia="zh-CN" w:bidi="ar-SA"/>
    </w:rPr>
  </w:style>
  <w:style w:type="paragraph" w:customStyle="1" w:styleId="263">
    <w:name w:val="xl15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2"/>
      <w:szCs w:val="22"/>
    </w:rPr>
  </w:style>
  <w:style w:type="paragraph" w:customStyle="1" w:styleId="264">
    <w:name w:val="font9"/>
    <w:basedOn w:val="1"/>
    <w:qFormat/>
    <w:uiPriority w:val="0"/>
    <w:pPr>
      <w:spacing w:before="100" w:beforeAutospacing="1" w:after="100" w:afterAutospacing="1"/>
      <w:jc w:val="left"/>
    </w:pPr>
    <w:rPr>
      <w:rFonts w:cs="Courier New"/>
      <w:kern w:val="0"/>
      <w:sz w:val="23"/>
      <w:szCs w:val="23"/>
    </w:rPr>
  </w:style>
  <w:style w:type="paragraph" w:customStyle="1" w:styleId="265">
    <w:name w:val="xl197"/>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66">
    <w:name w:val="xl168"/>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7">
    <w:name w:val="列表段落1"/>
    <w:basedOn w:val="1"/>
    <w:qFormat/>
    <w:uiPriority w:val="34"/>
    <w:pPr>
      <w:ind w:firstLine="420" w:firstLineChars="200"/>
    </w:pPr>
    <w:rPr>
      <w:szCs w:val="20"/>
    </w:rPr>
  </w:style>
  <w:style w:type="paragraph" w:customStyle="1" w:styleId="268">
    <w:name w:val="xl166"/>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69">
    <w:name w:val="Char1 Char Char Char"/>
    <w:basedOn w:val="1"/>
    <w:qFormat/>
    <w:uiPriority w:val="0"/>
    <w:pPr>
      <w:tabs>
        <w:tab w:val="left" w:pos="360"/>
      </w:tabs>
    </w:pPr>
    <w:rPr>
      <w:sz w:val="24"/>
    </w:rPr>
  </w:style>
  <w:style w:type="paragraph" w:customStyle="1" w:styleId="270">
    <w:name w:val="xl113"/>
    <w:basedOn w:val="1"/>
    <w:qFormat/>
    <w:uiPriority w:val="0"/>
    <w:pPr>
      <w:pBdr>
        <w:top w:val="single" w:color="auto" w:sz="4" w:space="0"/>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1">
    <w:name w:val="xl12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2">
    <w:name w:val="xl112"/>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73">
    <w:name w:val="5"/>
    <w:qFormat/>
    <w:uiPriority w:val="0"/>
    <w:pPr>
      <w:widowControl w:val="0"/>
      <w:tabs>
        <w:tab w:val="left" w:pos="1984"/>
      </w:tabs>
      <w:autoSpaceDE w:val="0"/>
      <w:autoSpaceDN w:val="0"/>
      <w:adjustRightInd w:val="0"/>
      <w:spacing w:line="290" w:lineRule="atLeast"/>
      <w:jc w:val="both"/>
    </w:pPr>
    <w:rPr>
      <w:rFonts w:ascii="Cambria Math" w:hAnsi="Courier New" w:eastAsia="宋体" w:cs="Times New Roman"/>
      <w:kern w:val="2"/>
      <w:sz w:val="21"/>
      <w:szCs w:val="24"/>
      <w:lang w:val="en-US" w:eastAsia="zh-CN" w:bidi="ar-SA"/>
    </w:rPr>
  </w:style>
  <w:style w:type="paragraph" w:customStyle="1" w:styleId="274">
    <w:name w:val="xl116"/>
    <w:basedOn w:val="1"/>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5">
    <w:name w:val="xl182"/>
    <w:basedOn w:val="1"/>
    <w:qFormat/>
    <w:uiPriority w:val="0"/>
    <w:pPr>
      <w:pBdr>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276">
    <w:name w:val="节"/>
    <w:basedOn w:val="4"/>
    <w:qFormat/>
    <w:uiPriority w:val="0"/>
    <w:pPr>
      <w:numPr>
        <w:ilvl w:val="1"/>
        <w:numId w:val="2"/>
      </w:numPr>
      <w:tabs>
        <w:tab w:val="left" w:pos="432"/>
        <w:tab w:val="left" w:pos="576"/>
      </w:tabs>
      <w:spacing w:line="240" w:lineRule="auto"/>
    </w:pPr>
    <w:rPr>
      <w:rFonts w:ascii="黑体" w:hAnsi="Times New Roman" w:eastAsia="微软雅黑"/>
      <w:b w:val="0"/>
      <w:bCs w:val="0"/>
      <w:szCs w:val="28"/>
    </w:rPr>
  </w:style>
  <w:style w:type="paragraph" w:customStyle="1" w:styleId="277">
    <w:name w:val="xl13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8">
    <w:name w:val="题注5"/>
    <w:basedOn w:val="1"/>
    <w:next w:val="15"/>
    <w:qFormat/>
    <w:uiPriority w:val="0"/>
    <w:pPr>
      <w:jc w:val="center"/>
    </w:pPr>
    <w:rPr>
      <w:b/>
      <w:color w:val="000000"/>
      <w:sz w:val="24"/>
      <w:szCs w:val="21"/>
    </w:rPr>
  </w:style>
  <w:style w:type="paragraph" w:customStyle="1" w:styleId="279">
    <w:name w:val="xl193"/>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color w:val="000000"/>
      <w:kern w:val="0"/>
      <w:sz w:val="23"/>
      <w:szCs w:val="23"/>
    </w:rPr>
  </w:style>
  <w:style w:type="paragraph" w:customStyle="1" w:styleId="280">
    <w:name w:val="Char Char2 Char"/>
    <w:basedOn w:val="1"/>
    <w:qFormat/>
    <w:uiPriority w:val="0"/>
    <w:pPr>
      <w:keepNext/>
      <w:keepLines/>
      <w:pageBreakBefore/>
      <w:tabs>
        <w:tab w:val="left" w:pos="845"/>
      </w:tabs>
      <w:ind w:left="845" w:hanging="420"/>
    </w:pPr>
    <w:rPr>
      <w:rFonts w:ascii="仿宋" w:hAnsi="仿宋"/>
      <w:sz w:val="24"/>
      <w:szCs w:val="20"/>
    </w:rPr>
  </w:style>
  <w:style w:type="paragraph" w:customStyle="1" w:styleId="281">
    <w:name w:val="Char Char Char Char Char Char1 Char"/>
    <w:basedOn w:val="1"/>
    <w:qFormat/>
    <w:uiPriority w:val="0"/>
    <w:pPr>
      <w:spacing w:after="160" w:line="240" w:lineRule="exact"/>
      <w:jc w:val="left"/>
    </w:pPr>
    <w:rPr>
      <w:kern w:val="0"/>
      <w:szCs w:val="20"/>
      <w:lang w:eastAsia="en-US"/>
    </w:rPr>
  </w:style>
  <w:style w:type="paragraph" w:customStyle="1" w:styleId="282">
    <w:name w:val="xl100"/>
    <w:basedOn w:val="1"/>
    <w:qFormat/>
    <w:uiPriority w:val="0"/>
    <w:pPr>
      <w:spacing w:before="100" w:beforeAutospacing="1" w:after="100" w:afterAutospacing="1"/>
      <w:jc w:val="left"/>
    </w:pPr>
    <w:rPr>
      <w:rFonts w:cs="Courier New"/>
      <w:color w:val="FF0000"/>
      <w:kern w:val="0"/>
      <w:sz w:val="22"/>
      <w:szCs w:val="22"/>
    </w:rPr>
  </w:style>
  <w:style w:type="paragraph" w:customStyle="1" w:styleId="283">
    <w:name w:val="首行缩进"/>
    <w:basedOn w:val="1"/>
    <w:qFormat/>
    <w:uiPriority w:val="0"/>
    <w:pPr>
      <w:ind w:firstLine="480" w:firstLineChars="200"/>
    </w:pPr>
    <w:rPr>
      <w:rFonts w:ascii="微软雅黑" w:hAnsi="微软雅黑"/>
      <w:lang w:val="zh-CN"/>
    </w:rPr>
  </w:style>
  <w:style w:type="paragraph" w:customStyle="1" w:styleId="284">
    <w:name w:val="xl1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kern w:val="0"/>
      <w:sz w:val="23"/>
      <w:szCs w:val="23"/>
    </w:rPr>
  </w:style>
  <w:style w:type="paragraph" w:customStyle="1" w:styleId="285">
    <w:name w:val="原点第二行"/>
    <w:basedOn w:val="184"/>
    <w:qFormat/>
    <w:uiPriority w:val="0"/>
    <w:pPr>
      <w:numPr>
        <w:numId w:val="0"/>
      </w:numPr>
      <w:ind w:left="567" w:firstLine="420"/>
    </w:pPr>
  </w:style>
  <w:style w:type="paragraph" w:customStyle="1" w:styleId="286">
    <w:name w:val="È±Ê¡ÎÄ±¾"/>
    <w:basedOn w:val="1"/>
    <w:qFormat/>
    <w:uiPriority w:val="0"/>
    <w:pPr>
      <w:overflowPunct w:val="0"/>
      <w:autoSpaceDE w:val="0"/>
      <w:autoSpaceDN w:val="0"/>
      <w:adjustRightInd w:val="0"/>
      <w:textAlignment w:val="baseline"/>
    </w:pPr>
    <w:rPr>
      <w:kern w:val="0"/>
      <w:szCs w:val="20"/>
    </w:rPr>
  </w:style>
  <w:style w:type="paragraph" w:customStyle="1" w:styleId="287">
    <w:name w:val="Char Char Char Char Char Char Char Char Char Char"/>
    <w:basedOn w:val="1"/>
    <w:qFormat/>
    <w:uiPriority w:val="0"/>
    <w:pPr>
      <w:adjustRightInd w:val="0"/>
    </w:pPr>
    <w:rPr>
      <w:kern w:val="0"/>
      <w:sz w:val="24"/>
      <w:szCs w:val="20"/>
    </w:rPr>
  </w:style>
  <w:style w:type="paragraph" w:customStyle="1" w:styleId="288">
    <w:name w:val="xl77"/>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89">
    <w:name w:val="xl164"/>
    <w:basedOn w:val="1"/>
    <w:qFormat/>
    <w:uiPriority w:val="0"/>
    <w:pPr>
      <w:pBdr>
        <w:left w:val="single" w:color="auto" w:sz="4" w:space="0"/>
        <w:bottom w:val="single" w:color="auto" w:sz="4" w:space="0"/>
      </w:pBdr>
      <w:spacing w:before="100" w:beforeAutospacing="1" w:after="100" w:afterAutospacing="1"/>
      <w:jc w:val="left"/>
    </w:pPr>
    <w:rPr>
      <w:rFonts w:cs="Courier New"/>
      <w:kern w:val="0"/>
      <w:sz w:val="23"/>
      <w:szCs w:val="23"/>
    </w:rPr>
  </w:style>
  <w:style w:type="paragraph" w:customStyle="1" w:styleId="290">
    <w:name w:val="xl14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1">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2">
    <w:name w:val="xl184"/>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3">
    <w:name w:val="tabletext"/>
    <w:basedOn w:val="1"/>
    <w:qFormat/>
    <w:uiPriority w:val="0"/>
    <w:pPr>
      <w:spacing w:before="100" w:beforeAutospacing="1" w:after="100" w:afterAutospacing="1" w:line="217" w:lineRule="atLeast"/>
      <w:jc w:val="left"/>
    </w:pPr>
    <w:rPr>
      <w:rFonts w:cs="Courier New"/>
      <w:kern w:val="0"/>
      <w:sz w:val="16"/>
      <w:szCs w:val="16"/>
      <w:lang w:bidi="th-TH"/>
    </w:rPr>
  </w:style>
  <w:style w:type="paragraph" w:customStyle="1" w:styleId="294">
    <w:name w:val="Char Char Char Char Char Char Char Char Char Char Char Char Char"/>
    <w:basedOn w:val="1"/>
    <w:qFormat/>
    <w:uiPriority w:val="0"/>
    <w:pPr>
      <w:spacing w:after="160" w:line="240" w:lineRule="exact"/>
      <w:jc w:val="left"/>
    </w:pPr>
    <w:rPr>
      <w:rFonts w:cs="Courier New"/>
      <w:kern w:val="0"/>
      <w:sz w:val="24"/>
    </w:rPr>
  </w:style>
  <w:style w:type="paragraph" w:customStyle="1" w:styleId="295">
    <w:name w:val="xl14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kern w:val="0"/>
      <w:sz w:val="23"/>
      <w:szCs w:val="23"/>
    </w:rPr>
  </w:style>
  <w:style w:type="paragraph" w:customStyle="1" w:styleId="296">
    <w:name w:val="font6"/>
    <w:basedOn w:val="1"/>
    <w:qFormat/>
    <w:uiPriority w:val="0"/>
    <w:pPr>
      <w:spacing w:before="100" w:beforeAutospacing="1" w:after="100" w:afterAutospacing="1"/>
      <w:jc w:val="left"/>
    </w:pPr>
    <w:rPr>
      <w:rFonts w:cs="Courier New"/>
      <w:b/>
      <w:bCs/>
      <w:kern w:val="0"/>
      <w:sz w:val="23"/>
      <w:szCs w:val="23"/>
    </w:rPr>
  </w:style>
  <w:style w:type="paragraph" w:customStyle="1" w:styleId="297">
    <w:name w:val="xl10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98">
    <w:name w:val="xl24"/>
    <w:basedOn w:val="1"/>
    <w:qFormat/>
    <w:uiPriority w:val="0"/>
    <w:pPr>
      <w:pBdr>
        <w:bottom w:val="single" w:color="auto" w:sz="4" w:space="0"/>
        <w:right w:val="single" w:color="auto" w:sz="4" w:space="0"/>
      </w:pBdr>
      <w:spacing w:before="100" w:beforeAutospacing="1" w:after="100" w:afterAutospacing="1"/>
      <w:jc w:val="center"/>
      <w:textAlignment w:val="center"/>
    </w:pPr>
    <w:rPr>
      <w:rFonts w:ascii="Wingdings" w:hAnsi="Cambria Math" w:eastAsia="Wingdings"/>
      <w:kern w:val="0"/>
      <w:sz w:val="24"/>
    </w:rPr>
  </w:style>
  <w:style w:type="paragraph" w:customStyle="1" w:styleId="299">
    <w:name w:val="xl15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300">
    <w:name w:val="xl8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01">
    <w:name w:val="xl177"/>
    <w:basedOn w:val="1"/>
    <w:qFormat/>
    <w:uiPriority w:val="0"/>
    <w:pPr>
      <w:pBdr>
        <w:top w:val="single" w:color="000000" w:sz="4" w:space="0"/>
        <w:left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302">
    <w:name w:val="xl178"/>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3">
    <w:name w:val="xl1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304">
    <w:name w:val="xl12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5">
    <w:name w:val="Char Char2 Char11"/>
    <w:basedOn w:val="1"/>
    <w:qFormat/>
    <w:uiPriority w:val="0"/>
    <w:rPr>
      <w:b/>
      <w:sz w:val="28"/>
      <w:szCs w:val="28"/>
    </w:rPr>
  </w:style>
  <w:style w:type="paragraph" w:customStyle="1" w:styleId="306">
    <w:name w:val="xl12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7">
    <w:name w:val="xl16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308">
    <w:name w:val="xl1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309">
    <w:name w:val="xl79"/>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310">
    <w:name w:val="题注4"/>
    <w:basedOn w:val="1"/>
    <w:next w:val="15"/>
    <w:qFormat/>
    <w:uiPriority w:val="0"/>
    <w:pPr>
      <w:ind w:left="-132" w:leftChars="-64" w:right="-105" w:rightChars="-50" w:hanging="2"/>
      <w:jc w:val="center"/>
    </w:pPr>
    <w:rPr>
      <w:b/>
      <w:color w:val="FF0000"/>
      <w:szCs w:val="21"/>
      <w:lang w:val="en-GB"/>
    </w:rPr>
  </w:style>
  <w:style w:type="paragraph" w:customStyle="1" w:styleId="311">
    <w:name w:val="办公自动化专用标题"/>
    <w:basedOn w:val="42"/>
    <w:qFormat/>
    <w:uiPriority w:val="0"/>
    <w:pPr>
      <w:spacing w:line="560" w:lineRule="atLeast"/>
    </w:pPr>
    <w:rPr>
      <w:rFonts w:ascii="Courier New" w:cs="宋体"/>
      <w:bCs w:val="0"/>
      <w:sz w:val="44"/>
      <w:szCs w:val="20"/>
    </w:rPr>
  </w:style>
  <w:style w:type="paragraph" w:customStyle="1" w:styleId="312">
    <w:name w:val="xl27"/>
    <w:basedOn w:val="1"/>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313">
    <w:name w:val="缺省文本"/>
    <w:basedOn w:val="1"/>
    <w:qFormat/>
    <w:uiPriority w:val="0"/>
    <w:pPr>
      <w:autoSpaceDE w:val="0"/>
      <w:autoSpaceDN w:val="0"/>
      <w:adjustRightInd w:val="0"/>
      <w:jc w:val="left"/>
    </w:pPr>
    <w:rPr>
      <w:kern w:val="0"/>
      <w:sz w:val="24"/>
      <w:szCs w:val="20"/>
    </w:rPr>
  </w:style>
  <w:style w:type="paragraph" w:customStyle="1" w:styleId="314">
    <w:name w:val="表格文字"/>
    <w:basedOn w:val="1"/>
    <w:qFormat/>
    <w:uiPriority w:val="0"/>
    <w:pPr>
      <w:spacing w:before="25" w:after="25"/>
      <w:jc w:val="left"/>
    </w:pPr>
    <w:rPr>
      <w:bCs/>
      <w:spacing w:val="10"/>
      <w:kern w:val="0"/>
      <w:sz w:val="24"/>
      <w:szCs w:val="20"/>
    </w:rPr>
  </w:style>
  <w:style w:type="paragraph" w:customStyle="1" w:styleId="315">
    <w:name w:val="xl12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16">
    <w:name w:val="Char11"/>
    <w:basedOn w:val="1"/>
    <w:qFormat/>
    <w:uiPriority w:val="0"/>
    <w:pPr>
      <w:spacing w:after="160" w:line="240" w:lineRule="exact"/>
      <w:jc w:val="left"/>
    </w:pPr>
    <w:rPr>
      <w:rFonts w:eastAsia="SimSun-Identity-H"/>
      <w:kern w:val="0"/>
      <w:sz w:val="24"/>
      <w:szCs w:val="20"/>
      <w:lang w:eastAsia="en-US"/>
    </w:rPr>
  </w:style>
  <w:style w:type="paragraph" w:customStyle="1" w:styleId="317">
    <w:name w:val="xl91"/>
    <w:basedOn w:val="1"/>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318">
    <w:name w:val="列表段落2"/>
    <w:basedOn w:val="1"/>
    <w:qFormat/>
    <w:uiPriority w:val="34"/>
    <w:pPr>
      <w:ind w:firstLine="420" w:firstLineChars="200"/>
    </w:pPr>
    <w:rPr>
      <w:rFonts w:ascii="华文中宋" w:hAnsi="华文中宋" w:eastAsia="Courier New"/>
      <w:szCs w:val="20"/>
    </w:rPr>
  </w:style>
  <w:style w:type="paragraph" w:customStyle="1" w:styleId="319">
    <w:name w:val="xl1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table" w:customStyle="1" w:styleId="320">
    <w:name w:val="网格型3"/>
    <w:basedOn w:val="46"/>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1">
    <w:name w:val="网格型21"/>
    <w:basedOn w:val="46"/>
    <w:qFormat/>
    <w:uiPriority w:val="39"/>
    <w:rPr>
      <w:rFonts w:eastAsia="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2">
    <w:name w:val="网格型4"/>
    <w:basedOn w:val="46"/>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3">
    <w:name w:val="网格型2"/>
    <w:basedOn w:val="46"/>
    <w:qFormat/>
    <w:uiPriority w:val="39"/>
    <w:rPr>
      <w:rFonts w:eastAsia="Calibri" w:cs="微软雅黑"/>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4">
    <w:name w:val="网格型1"/>
    <w:basedOn w:val="46"/>
    <w:qFormat/>
    <w:uiPriority w:val="0"/>
    <w:pPr>
      <w:widowControl w:val="0"/>
    </w:pPr>
    <w:rPr>
      <w:rFonts w:ascii="微软雅黑" w:hAnsi="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5">
    <w:name w:val="网格型11"/>
    <w:basedOn w:val="46"/>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26">
    <w:name w:val="_Style 3"/>
    <w:basedOn w:val="1"/>
    <w:next w:val="126"/>
    <w:qFormat/>
    <w:uiPriority w:val="34"/>
    <w:pPr>
      <w:spacing w:line="240" w:lineRule="atLeast"/>
      <w:ind w:firstLine="420" w:firstLineChars="200"/>
      <w:jc w:val="left"/>
    </w:pPr>
    <w:rPr>
      <w:rFonts w:ascii="仿宋体" w:hAnsi="仿宋体" w:eastAsia="Arial" w:cs="Arial"/>
      <w:kern w:val="0"/>
      <w:sz w:val="24"/>
    </w:rPr>
  </w:style>
  <w:style w:type="paragraph" w:customStyle="1" w:styleId="327">
    <w:name w:val="Table Paragraph"/>
    <w:basedOn w:val="1"/>
    <w:qFormat/>
    <w:uiPriority w:val="0"/>
    <w:pPr>
      <w:autoSpaceDE w:val="0"/>
      <w:autoSpaceDN w:val="0"/>
      <w:adjustRightInd w:val="0"/>
      <w:jc w:val="left"/>
    </w:pPr>
    <w:rPr>
      <w:kern w:val="0"/>
      <w:sz w:val="24"/>
    </w:rPr>
  </w:style>
  <w:style w:type="character" w:customStyle="1" w:styleId="328">
    <w:name w:val="彩色列表 - 着色 1 字符"/>
    <w:link w:val="329"/>
    <w:qFormat/>
    <w:uiPriority w:val="34"/>
    <w:rPr>
      <w:rFonts w:ascii="华文中宋" w:hAnsi="华文中宋"/>
      <w:kern w:val="1"/>
      <w:lang w:eastAsia="ar-SA"/>
    </w:rPr>
  </w:style>
  <w:style w:type="paragraph" w:customStyle="1" w:styleId="329">
    <w:name w:val="彩色列表 - 强调文字颜色 11"/>
    <w:basedOn w:val="1"/>
    <w:link w:val="328"/>
    <w:qFormat/>
    <w:uiPriority w:val="34"/>
    <w:pPr>
      <w:suppressAutoHyphens/>
      <w:ind w:firstLine="420"/>
    </w:pPr>
    <w:rPr>
      <w:rFonts w:ascii="华文中宋" w:hAnsi="华文中宋"/>
      <w:kern w:val="1"/>
      <w:sz w:val="20"/>
      <w:szCs w:val="20"/>
      <w:lang w:eastAsia="ar-SA"/>
    </w:rPr>
  </w:style>
  <w:style w:type="paragraph" w:customStyle="1" w:styleId="330">
    <w:name w:val="_Style 329"/>
    <w:basedOn w:val="20"/>
    <w:next w:val="45"/>
    <w:link w:val="331"/>
    <w:qFormat/>
    <w:uiPriority w:val="0"/>
    <w:pPr>
      <w:adjustRightInd/>
      <w:snapToGrid/>
      <w:spacing w:after="120" w:line="240" w:lineRule="auto"/>
      <w:ind w:left="420" w:leftChars="200"/>
    </w:pPr>
    <w:rPr>
      <w:rFonts w:ascii="Times New Roman" w:hAnsi="Times New Roman"/>
      <w:kern w:val="0"/>
      <w:sz w:val="20"/>
      <w:szCs w:val="20"/>
    </w:rPr>
  </w:style>
  <w:style w:type="character" w:customStyle="1" w:styleId="331">
    <w:name w:val="正文首行缩进 2 Char"/>
    <w:link w:val="330"/>
    <w:qFormat/>
    <w:uiPriority w:val="0"/>
  </w:style>
  <w:style w:type="paragraph" w:customStyle="1" w:styleId="332">
    <w:name w:val="_Style 2"/>
    <w:basedOn w:val="1"/>
    <w:next w:val="1"/>
    <w:qFormat/>
    <w:uiPriority w:val="99"/>
    <w:pPr>
      <w:ind w:firstLine="420"/>
    </w:pPr>
    <w:rPr>
      <w:rFonts w:ascii="Cambria" w:hAnsi="Cambria"/>
    </w:rPr>
  </w:style>
  <w:style w:type="character" w:customStyle="1" w:styleId="333">
    <w:name w:val="文档结构图 Char"/>
    <w:link w:val="16"/>
    <w:qFormat/>
    <w:uiPriority w:val="99"/>
    <w:rPr>
      <w:kern w:val="2"/>
      <w:sz w:val="21"/>
      <w:szCs w:val="24"/>
      <w:shd w:val="clear" w:color="auto" w:fill="000080"/>
    </w:rPr>
  </w:style>
  <w:style w:type="character" w:customStyle="1" w:styleId="334">
    <w:name w:val="称呼 Char"/>
    <w:link w:val="18"/>
    <w:qFormat/>
    <w:uiPriority w:val="0"/>
    <w:rPr>
      <w:kern w:val="2"/>
      <w:sz w:val="21"/>
      <w:szCs w:val="24"/>
    </w:rPr>
  </w:style>
  <w:style w:type="character" w:customStyle="1" w:styleId="335">
    <w:name w:val="正文文本 3 Char"/>
    <w:link w:val="19"/>
    <w:qFormat/>
    <w:uiPriority w:val="0"/>
    <w:rPr>
      <w:kern w:val="2"/>
      <w:sz w:val="16"/>
      <w:szCs w:val="16"/>
    </w:rPr>
  </w:style>
  <w:style w:type="character" w:customStyle="1" w:styleId="336">
    <w:name w:val="正文首行缩进 Char"/>
    <w:link w:val="44"/>
    <w:qFormat/>
    <w:uiPriority w:val="99"/>
    <w:rPr>
      <w:rFonts w:ascii="宋体" w:hAnsi="宋体"/>
      <w:kern w:val="2"/>
      <w:sz w:val="21"/>
      <w:szCs w:val="24"/>
    </w:rPr>
  </w:style>
  <w:style w:type="character" w:customStyle="1" w:styleId="337">
    <w:name w:val="z-窗体顶端 字符1"/>
    <w:qFormat/>
    <w:uiPriority w:val="99"/>
    <w:rPr>
      <w:rFonts w:ascii="Arial" w:hAnsi="Arial" w:eastAsia="宋体" w:cs="Arial"/>
      <w:vanish/>
      <w:sz w:val="16"/>
      <w:szCs w:val="16"/>
    </w:rPr>
  </w:style>
  <w:style w:type="character" w:customStyle="1" w:styleId="338">
    <w:name w:val="未处理的提及11"/>
    <w:qFormat/>
    <w:uiPriority w:val="99"/>
    <w:rPr>
      <w:color w:val="605E5C"/>
      <w:shd w:val="clear" w:color="auto" w:fill="E1DFDD"/>
    </w:rPr>
  </w:style>
  <w:style w:type="paragraph" w:customStyle="1" w:styleId="339">
    <w:name w:val="z-窗体顶端11"/>
    <w:basedOn w:val="1"/>
    <w:qFormat/>
    <w:uiPriority w:val="34"/>
    <w:pPr>
      <w:tabs>
        <w:tab w:val="left" w:pos="1276"/>
      </w:tabs>
      <w:ind w:firstLine="420" w:firstLineChars="200"/>
    </w:pPr>
    <w:rPr>
      <w:rFonts w:ascii="Times New Roman" w:hAnsi="Times New Roman"/>
    </w:rPr>
  </w:style>
  <w:style w:type="paragraph" w:customStyle="1" w:styleId="340">
    <w:name w:val="Char Char Char Char1"/>
    <w:basedOn w:val="1"/>
    <w:qFormat/>
    <w:uiPriority w:val="0"/>
    <w:pPr>
      <w:spacing w:after="160" w:line="240" w:lineRule="exact"/>
      <w:jc w:val="left"/>
    </w:pPr>
    <w:rPr>
      <w:kern w:val="0"/>
      <w:sz w:val="20"/>
      <w:szCs w:val="20"/>
      <w:lang w:eastAsia="en-US"/>
    </w:rPr>
  </w:style>
  <w:style w:type="paragraph" w:customStyle="1" w:styleId="341">
    <w:name w:val="Char Char131"/>
    <w:basedOn w:val="1"/>
    <w:qFormat/>
    <w:uiPriority w:val="0"/>
    <w:pPr>
      <w:spacing w:after="160" w:line="240" w:lineRule="exact"/>
      <w:jc w:val="left"/>
    </w:pPr>
    <w:rPr>
      <w:rFonts w:eastAsia="SimSun-Identity-H"/>
      <w:kern w:val="0"/>
      <w:sz w:val="24"/>
      <w:szCs w:val="20"/>
      <w:lang w:eastAsia="en-US"/>
    </w:rPr>
  </w:style>
  <w:style w:type="paragraph" w:customStyle="1" w:styleId="342">
    <w:name w:val="Char Char Char1"/>
    <w:basedOn w:val="1"/>
    <w:qFormat/>
    <w:uiPriority w:val="0"/>
    <w:pPr>
      <w:spacing w:after="160" w:line="240" w:lineRule="exact"/>
      <w:jc w:val="left"/>
    </w:pPr>
    <w:rPr>
      <w:rFonts w:ascii="Times New Roman" w:hAnsi="Times New Roman"/>
      <w:szCs w:val="20"/>
    </w:rPr>
  </w:style>
  <w:style w:type="paragraph" w:customStyle="1" w:styleId="343">
    <w:name w:val="彩色底纹 - 强调文字颜色 11"/>
    <w:qFormat/>
    <w:uiPriority w:val="99"/>
    <w:pPr>
      <w:spacing w:line="360" w:lineRule="auto"/>
      <w:jc w:val="both"/>
    </w:pPr>
    <w:rPr>
      <w:rFonts w:ascii="Times New Roman" w:hAnsi="Times New Roman" w:eastAsia="宋体" w:cs="Times New Roman"/>
      <w:kern w:val="2"/>
      <w:sz w:val="21"/>
      <w:szCs w:val="24"/>
      <w:lang w:val="en-US" w:eastAsia="zh-CN" w:bidi="ar-SA"/>
    </w:rPr>
  </w:style>
  <w:style w:type="paragraph" w:customStyle="1" w:styleId="344">
    <w:name w:val="Char Char Char Char Char Char Char Char Char Char Char Char1 Char1"/>
    <w:basedOn w:val="16"/>
    <w:qFormat/>
    <w:uiPriority w:val="0"/>
    <w:rPr>
      <w:rFonts w:ascii="Times New Roman" w:hAnsi="Times New Roman"/>
    </w:rPr>
  </w:style>
  <w:style w:type="paragraph" w:customStyle="1" w:styleId="345">
    <w:name w:val="Char Char Char Char Char Char Char1"/>
    <w:basedOn w:val="1"/>
    <w:qFormat/>
    <w:uiPriority w:val="0"/>
    <w:pPr>
      <w:tabs>
        <w:tab w:val="left" w:pos="425"/>
      </w:tabs>
      <w:ind w:left="425" w:hanging="425"/>
    </w:pPr>
    <w:rPr>
      <w:rFonts w:ascii="Times New Roman" w:hAnsi="Times New Roman" w:eastAsia="SimSun-Identity-H"/>
      <w:kern w:val="24"/>
      <w:sz w:val="24"/>
    </w:rPr>
  </w:style>
  <w:style w:type="paragraph" w:customStyle="1" w:styleId="346">
    <w:name w:val="Char Char1"/>
    <w:basedOn w:val="1"/>
    <w:qFormat/>
    <w:uiPriority w:val="0"/>
    <w:rPr>
      <w:b/>
      <w:sz w:val="28"/>
      <w:szCs w:val="28"/>
    </w:rPr>
  </w:style>
  <w:style w:type="paragraph" w:customStyle="1" w:styleId="347">
    <w:name w:val="中等深浅网格 21"/>
    <w:qFormat/>
    <w:uiPriority w:val="1"/>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348">
    <w:name w:val="Char1 Char Char Char1"/>
    <w:basedOn w:val="1"/>
    <w:qFormat/>
    <w:uiPriority w:val="0"/>
    <w:pPr>
      <w:numPr>
        <w:ilvl w:val="0"/>
        <w:numId w:val="3"/>
      </w:numPr>
      <w:tabs>
        <w:tab w:val="clear" w:pos="360"/>
      </w:tabs>
    </w:pPr>
    <w:rPr>
      <w:rFonts w:ascii="Times New Roman" w:hAnsi="Times New Roman"/>
      <w:sz w:val="24"/>
    </w:rPr>
  </w:style>
  <w:style w:type="paragraph" w:customStyle="1" w:styleId="349">
    <w:name w:val="Char Char Char Char Char Char1 Char1"/>
    <w:basedOn w:val="1"/>
    <w:qFormat/>
    <w:uiPriority w:val="0"/>
    <w:pPr>
      <w:spacing w:after="160" w:line="240" w:lineRule="exact"/>
      <w:jc w:val="left"/>
    </w:pPr>
    <w:rPr>
      <w:kern w:val="0"/>
      <w:szCs w:val="20"/>
      <w:lang w:eastAsia="en-US"/>
    </w:rPr>
  </w:style>
  <w:style w:type="paragraph" w:customStyle="1" w:styleId="350">
    <w:name w:val="Char Char Char Char Char Char Char Char Char Char1"/>
    <w:basedOn w:val="1"/>
    <w:qFormat/>
    <w:uiPriority w:val="0"/>
    <w:pPr>
      <w:adjustRightInd w:val="0"/>
    </w:pPr>
    <w:rPr>
      <w:rFonts w:ascii="Times New Roman" w:hAnsi="Times New Roman"/>
      <w:kern w:val="0"/>
      <w:sz w:val="24"/>
      <w:szCs w:val="20"/>
    </w:rPr>
  </w:style>
  <w:style w:type="paragraph" w:customStyle="1" w:styleId="351">
    <w:name w:val="Char Char Char Char Char Char Char Char Char Char Char Char Char1"/>
    <w:basedOn w:val="1"/>
    <w:qFormat/>
    <w:uiPriority w:val="0"/>
    <w:pPr>
      <w:spacing w:after="160" w:line="240" w:lineRule="exact"/>
      <w:jc w:val="left"/>
    </w:pPr>
    <w:rPr>
      <w:rFonts w:cs="Courier New"/>
      <w:kern w:val="0"/>
      <w:sz w:val="24"/>
    </w:rPr>
  </w:style>
  <w:style w:type="paragraph" w:customStyle="1" w:styleId="352">
    <w:name w:val="Char Char2 Char1"/>
    <w:basedOn w:val="1"/>
    <w:qFormat/>
    <w:uiPriority w:val="0"/>
    <w:rPr>
      <w:b/>
      <w:sz w:val="28"/>
      <w:szCs w:val="28"/>
    </w:rPr>
  </w:style>
  <w:style w:type="paragraph" w:customStyle="1" w:styleId="353">
    <w:name w:val="Char1"/>
    <w:basedOn w:val="1"/>
    <w:qFormat/>
    <w:uiPriority w:val="0"/>
    <w:pPr>
      <w:spacing w:after="160" w:line="240" w:lineRule="exact"/>
      <w:jc w:val="left"/>
    </w:pPr>
    <w:rPr>
      <w:rFonts w:eastAsia="SimSun-Identity-H"/>
      <w:kern w:val="0"/>
      <w:sz w:val="24"/>
      <w:szCs w:val="20"/>
      <w:lang w:eastAsia="en-US"/>
    </w:rPr>
  </w:style>
  <w:style w:type="paragraph" w:customStyle="1" w:styleId="354">
    <w:name w:val="列表段落21"/>
    <w:basedOn w:val="1"/>
    <w:qFormat/>
    <w:uiPriority w:val="34"/>
    <w:pPr>
      <w:ind w:firstLine="420" w:firstLineChars="200"/>
    </w:pPr>
    <w:rPr>
      <w:rFonts w:ascii="华文中宋" w:hAnsi="华文中宋" w:eastAsia="Courier New"/>
      <w:szCs w:val="20"/>
    </w:rPr>
  </w:style>
  <w:style w:type="character" w:customStyle="1" w:styleId="355">
    <w:name w:val="font101"/>
    <w:qFormat/>
    <w:uiPriority w:val="0"/>
    <w:rPr>
      <w:rFonts w:hint="eastAsia" w:ascii="宋体" w:hAnsi="宋体" w:eastAsia="宋体" w:cs="宋体"/>
      <w:color w:val="000000"/>
      <w:sz w:val="22"/>
      <w:szCs w:val="22"/>
      <w:u w:val="none"/>
    </w:rPr>
  </w:style>
  <w:style w:type="paragraph" w:customStyle="1" w:styleId="356">
    <w:name w:val="B"/>
    <w:basedOn w:val="2"/>
    <w:link w:val="357"/>
    <w:qFormat/>
    <w:uiPriority w:val="1"/>
    <w:pPr>
      <w:autoSpaceDE w:val="0"/>
      <w:autoSpaceDN w:val="0"/>
      <w:ind w:firstLine="480" w:firstLineChars="200"/>
      <w:jc w:val="left"/>
    </w:pPr>
    <w:rPr>
      <w:rFonts w:ascii="宋体" w:hAnsi="宋体" w:cs="宋体"/>
      <w:sz w:val="24"/>
      <w:lang w:eastAsia="en-US"/>
    </w:rPr>
  </w:style>
  <w:style w:type="character" w:customStyle="1" w:styleId="357">
    <w:name w:val="B 字符"/>
    <w:basedOn w:val="61"/>
    <w:link w:val="356"/>
    <w:qFormat/>
    <w:uiPriority w:val="1"/>
    <w:rPr>
      <w:rFonts w:ascii="宋体" w:hAnsi="宋体" w:cs="宋体"/>
      <w:kern w:val="2"/>
      <w:sz w:val="24"/>
      <w:szCs w:val="24"/>
      <w:lang w:eastAsia="en-US"/>
    </w:rPr>
  </w:style>
  <w:style w:type="paragraph" w:customStyle="1" w:styleId="358">
    <w:name w:val="D"/>
    <w:basedOn w:val="356"/>
    <w:link w:val="359"/>
    <w:qFormat/>
    <w:uiPriority w:val="1"/>
    <w:pPr>
      <w:ind w:firstLine="0" w:firstLineChars="0"/>
      <w:jc w:val="both"/>
      <w:outlineLvl w:val="2"/>
    </w:pPr>
    <w:rPr>
      <w:b/>
      <w:bCs/>
      <w:kern w:val="0"/>
    </w:rPr>
  </w:style>
  <w:style w:type="character" w:customStyle="1" w:styleId="359">
    <w:name w:val="D 字符"/>
    <w:link w:val="358"/>
    <w:qFormat/>
    <w:uiPriority w:val="1"/>
    <w:rPr>
      <w:rFonts w:ascii="宋体" w:hAnsi="宋体" w:cs="宋体"/>
      <w:b/>
      <w:bCs/>
      <w:sz w:val="24"/>
      <w:szCs w:val="24"/>
      <w:lang w:eastAsia="en-US"/>
    </w:rPr>
  </w:style>
  <w:style w:type="character" w:customStyle="1" w:styleId="360">
    <w:name w:val="正文缩进 Char"/>
    <w:qFormat/>
    <w:uiPriority w:val="0"/>
    <w:rPr>
      <w:rFonts w:ascii="文鼎CS中黑" w:eastAsia="文鼎CS中黑"/>
      <w:sz w:val="34"/>
    </w:rPr>
  </w:style>
  <w:style w:type="character" w:customStyle="1" w:styleId="361">
    <w:name w:val="批注文字 字符1"/>
    <w:qFormat/>
    <w:uiPriority w:val="0"/>
    <w:rPr>
      <w:rFonts w:ascii="宋体" w:hAnsi="宋体" w:cs="宋体"/>
      <w:sz w:val="24"/>
      <w:szCs w:val="24"/>
    </w:rPr>
  </w:style>
  <w:style w:type="paragraph" w:customStyle="1" w:styleId="362">
    <w:name w:val="列表段落3"/>
    <w:basedOn w:val="1"/>
    <w:qFormat/>
    <w:uiPriority w:val="0"/>
    <w:pPr>
      <w:autoSpaceDE w:val="0"/>
      <w:autoSpaceDN w:val="0"/>
      <w:ind w:left="124" w:firstLine="378"/>
      <w:jc w:val="left"/>
    </w:pPr>
    <w:rPr>
      <w:rFonts w:ascii="宋体" w:hAnsi="宋体" w:cs="宋体"/>
      <w:kern w:val="0"/>
      <w:sz w:val="22"/>
      <w:szCs w:val="22"/>
    </w:rPr>
  </w:style>
  <w:style w:type="paragraph" w:customStyle="1" w:styleId="363">
    <w:name w:val="正文1"/>
    <w:qFormat/>
    <w:uiPriority w:val="0"/>
    <w:pPr>
      <w:jc w:val="both"/>
    </w:pPr>
    <w:rPr>
      <w:rFonts w:ascii="Calibri" w:hAnsi="Calibri" w:eastAsia="宋体" w:cs="Calibri"/>
      <w:kern w:val="2"/>
      <w:sz w:val="21"/>
      <w:szCs w:val="21"/>
      <w:lang w:val="en-US" w:eastAsia="zh-CN" w:bidi="ar-SA"/>
    </w:rPr>
  </w:style>
  <w:style w:type="character" w:customStyle="1" w:styleId="364">
    <w:name w:val="Unresolved Mention"/>
    <w:basedOn w:val="48"/>
    <w:semiHidden/>
    <w:unhideWhenUsed/>
    <w:qFormat/>
    <w:uiPriority w:val="99"/>
    <w:rPr>
      <w:color w:val="605E5C"/>
      <w:shd w:val="clear" w:color="auto" w:fill="E1DFDD"/>
    </w:rPr>
  </w:style>
  <w:style w:type="character" w:customStyle="1" w:styleId="365">
    <w:name w:val="正文文本首行缩进 2 字符1"/>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C1E316-C6E7-4C5E-9947-F92E4DB408E5}">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69</Pages>
  <Words>39734</Words>
  <Characters>41036</Characters>
  <Lines>294</Lines>
  <Paragraphs>82</Paragraphs>
  <TotalTime>0</TotalTime>
  <ScaleCrop>false</ScaleCrop>
  <LinksUpToDate>false</LinksUpToDate>
  <CharactersWithSpaces>44576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2022-11-14T06:53:00Z</dcterms:created>
  <dc:creator>Administrator</dc:creator>
  <cp:lastModifiedBy>咸大吉</cp:lastModifiedBy>
  <cp:lastPrinted>2022-11-15T02:03:00Z</cp:lastPrinted>
  <dcterms:modified xsi:type="dcterms:W3CDTF">2024-05-30T09:13:49Z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B793ABFF5319483590BAC929DC918863_13</vt:lpwstr>
  </property>
</Properties>
</file>